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06886" w14:textId="77777777" w:rsidR="00CA220E" w:rsidRDefault="00000000">
      <w:pPr>
        <w:spacing w:after="2602" w:line="265" w:lineRule="auto"/>
        <w:ind w:left="10" w:right="-14" w:hanging="10"/>
        <w:jc w:val="right"/>
      </w:pPr>
      <w:r>
        <w:t xml:space="preserve">č. j. 62 Cm 18/2024-793 </w:t>
      </w:r>
    </w:p>
    <w:p w14:paraId="6EE69865" w14:textId="77777777" w:rsidR="00CA220E" w:rsidRDefault="00000000">
      <w:pPr>
        <w:pStyle w:val="Nadpis1"/>
      </w:pPr>
      <w:r>
        <w:t xml:space="preserve">USNESENÍ </w:t>
      </w:r>
    </w:p>
    <w:p w14:paraId="1F7151FB" w14:textId="77777777" w:rsidR="00CA220E" w:rsidRDefault="00000000">
      <w:pPr>
        <w:spacing w:after="265"/>
        <w:ind w:left="635" w:right="0" w:firstLine="0"/>
      </w:pPr>
      <w:r>
        <w:t xml:space="preserve">Krajský soud v Brně rozhodl samosoudcem Mgr. Ing. Radkem </w:t>
      </w:r>
      <w:proofErr w:type="spellStart"/>
      <w:r>
        <w:t>Rubanem</w:t>
      </w:r>
      <w:proofErr w:type="spellEnd"/>
      <w:r>
        <w:t xml:space="preserve">, Ph.D., ve věci </w:t>
      </w:r>
    </w:p>
    <w:p w14:paraId="5962C440" w14:textId="77777777" w:rsidR="00CA220E" w:rsidRDefault="00000000">
      <w:pPr>
        <w:spacing w:after="138" w:line="238" w:lineRule="auto"/>
        <w:ind w:left="630" w:right="2054" w:hanging="10"/>
        <w:jc w:val="left"/>
      </w:pPr>
      <w:r>
        <w:t xml:space="preserve">navrhovatele: </w:t>
      </w:r>
      <w:r>
        <w:tab/>
      </w:r>
      <w:r>
        <w:rPr>
          <w:b/>
        </w:rPr>
        <w:t>Pavel Sekula</w:t>
      </w:r>
      <w:r>
        <w:t xml:space="preserve">, narozený 25. 4. </w:t>
      </w:r>
      <w:proofErr w:type="gramStart"/>
      <w:r>
        <w:t xml:space="preserve">1963  </w:t>
      </w:r>
      <w:r>
        <w:tab/>
      </w:r>
      <w:proofErr w:type="gramEnd"/>
      <w:r>
        <w:t xml:space="preserve">bytem: Podlesí V 5407, 760 05 </w:t>
      </w:r>
      <w:proofErr w:type="gramStart"/>
      <w:r>
        <w:t xml:space="preserve">Zlín  </w:t>
      </w:r>
      <w:r>
        <w:tab/>
      </w:r>
      <w:proofErr w:type="gramEnd"/>
      <w:r>
        <w:t xml:space="preserve">zastoupený: Mgr. Eva </w:t>
      </w:r>
      <w:proofErr w:type="spellStart"/>
      <w:r>
        <w:t>Štauderová</w:t>
      </w:r>
      <w:proofErr w:type="spellEnd"/>
      <w:r>
        <w:t xml:space="preserve">, </w:t>
      </w:r>
      <w:proofErr w:type="gramStart"/>
      <w:r>
        <w:t xml:space="preserve">advokátka  </w:t>
      </w:r>
      <w:r>
        <w:tab/>
      </w:r>
      <w:proofErr w:type="gramEnd"/>
      <w:r>
        <w:t xml:space="preserve">sídlem: Stráže 3662, 760 01 Zlín </w:t>
      </w:r>
    </w:p>
    <w:p w14:paraId="3D0FC2B0" w14:textId="77777777" w:rsidR="00CA220E" w:rsidRDefault="00000000">
      <w:pPr>
        <w:tabs>
          <w:tab w:val="center" w:pos="1054"/>
          <w:tab w:val="center" w:pos="5438"/>
        </w:tabs>
        <w:spacing w:after="10"/>
        <w:ind w:left="0" w:right="0" w:firstLine="0"/>
        <w:jc w:val="left"/>
      </w:pPr>
      <w:r>
        <w:rPr>
          <w:rFonts w:ascii="Calibri" w:eastAsia="Calibri" w:hAnsi="Calibri" w:cs="Calibri"/>
          <w:sz w:val="22"/>
        </w:rPr>
        <w:tab/>
      </w:r>
      <w:r>
        <w:t xml:space="preserve">za účasti: </w:t>
      </w:r>
      <w:r>
        <w:tab/>
      </w:r>
      <w:r>
        <w:rPr>
          <w:b/>
        </w:rPr>
        <w:t>Bytové družstvo Podlesí</w:t>
      </w:r>
      <w:r>
        <w:t xml:space="preserve">, IČO 26295563 </w:t>
      </w:r>
    </w:p>
    <w:p w14:paraId="20ACA1F2" w14:textId="77777777" w:rsidR="00CA220E" w:rsidRDefault="00000000">
      <w:pPr>
        <w:spacing w:after="240" w:line="238" w:lineRule="auto"/>
        <w:ind w:left="3477" w:right="2054" w:hanging="10"/>
        <w:jc w:val="left"/>
      </w:pPr>
      <w:r>
        <w:t xml:space="preserve">sídlem: Podlesí V 5407, 760 05 </w:t>
      </w:r>
      <w:proofErr w:type="gramStart"/>
      <w:r>
        <w:t>Zlín  zastoupené</w:t>
      </w:r>
      <w:proofErr w:type="gramEnd"/>
      <w:r>
        <w:t xml:space="preserve">: Mgr. Filip Petráš, advokát sídlem: Opletalova 1525/39, 110 00 Praha </w:t>
      </w:r>
    </w:p>
    <w:p w14:paraId="19CD89BF" w14:textId="77777777" w:rsidR="00CA220E" w:rsidRDefault="00000000">
      <w:pPr>
        <w:spacing w:after="226"/>
        <w:ind w:left="635" w:right="0" w:firstLine="0"/>
      </w:pPr>
      <w:r>
        <w:t xml:space="preserve">o vyslovení neplatnosti usnesení členské schůze družstva přijatých 1. 2. 2024 </w:t>
      </w:r>
    </w:p>
    <w:p w14:paraId="7D2A2D24" w14:textId="77777777" w:rsidR="00CA220E" w:rsidRDefault="00000000">
      <w:pPr>
        <w:spacing w:after="234" w:line="259" w:lineRule="auto"/>
        <w:ind w:left="633" w:right="0" w:firstLine="0"/>
        <w:jc w:val="center"/>
      </w:pPr>
      <w:r>
        <w:rPr>
          <w:b/>
        </w:rPr>
        <w:t xml:space="preserve">takto: </w:t>
      </w:r>
    </w:p>
    <w:p w14:paraId="5612A63A" w14:textId="77777777" w:rsidR="00CA220E" w:rsidRDefault="00000000">
      <w:pPr>
        <w:numPr>
          <w:ilvl w:val="0"/>
          <w:numId w:val="1"/>
        </w:numPr>
        <w:ind w:left="1392" w:right="0" w:hanging="580"/>
      </w:pPr>
      <w:r>
        <w:t xml:space="preserve">Návrh navrhovatele, aby soud vyslovil neplatnost usnesení, která byla přijata 1. 2. 2024 členskou schůzí Bytového družstva Podlesí, IČO: 26295563, sídlem: Podlesí V 5407, 760 05 Zlín, jako usnesení </w:t>
      </w:r>
      <w:r>
        <w:rPr>
          <w:i/>
        </w:rPr>
        <w:t>„24020102-01“</w:t>
      </w:r>
      <w:r>
        <w:t xml:space="preserve"> a </w:t>
      </w:r>
      <w:r>
        <w:rPr>
          <w:i/>
        </w:rPr>
        <w:t>„24020103-01“</w:t>
      </w:r>
      <w:r>
        <w:t xml:space="preserve">, se zamítá.  </w:t>
      </w:r>
    </w:p>
    <w:p w14:paraId="247FEB7E" w14:textId="77777777" w:rsidR="00CA220E" w:rsidRDefault="00000000">
      <w:pPr>
        <w:numPr>
          <w:ilvl w:val="0"/>
          <w:numId w:val="1"/>
        </w:numPr>
        <w:spacing w:after="229"/>
        <w:ind w:left="1392" w:right="0" w:hanging="580"/>
      </w:pPr>
      <w:r>
        <w:t xml:space="preserve">Navrhovatel je povinen zaplatit Bytovému družstvu Podlesí, IČO: 26295563, sídlem: Podlesí V 5407, 760 05 Zlín, na náhradu nákladů řízení 154 087,45 Kč, a to do 3 dnů od právní moci tohoto usnesení k rukám zástupce Bytového družstva Podlesí, IČO: 26295563, sídlem: Podlesí V 5407, 760 05 Zlín. </w:t>
      </w:r>
    </w:p>
    <w:p w14:paraId="5A7A143E" w14:textId="77777777" w:rsidR="00CA220E" w:rsidRDefault="00000000">
      <w:pPr>
        <w:spacing w:after="352" w:line="260" w:lineRule="auto"/>
        <w:ind w:left="646" w:right="3" w:hanging="10"/>
        <w:jc w:val="center"/>
      </w:pPr>
      <w:r>
        <w:rPr>
          <w:b/>
        </w:rPr>
        <w:t xml:space="preserve">Odůvodnění: </w:t>
      </w:r>
    </w:p>
    <w:p w14:paraId="186775B4" w14:textId="77777777" w:rsidR="00CA220E" w:rsidRDefault="00000000">
      <w:pPr>
        <w:spacing w:after="1" w:line="354" w:lineRule="auto"/>
        <w:ind w:left="635" w:right="1662" w:firstLine="1882"/>
        <w:jc w:val="left"/>
      </w:pPr>
      <w:r>
        <w:rPr>
          <w:b/>
        </w:rPr>
        <w:t>I.</w:t>
      </w:r>
      <w:r>
        <w:rPr>
          <w:rFonts w:ascii="Arial" w:eastAsia="Arial" w:hAnsi="Arial" w:cs="Arial"/>
          <w:b/>
        </w:rPr>
        <w:t xml:space="preserve"> </w:t>
      </w:r>
      <w:r>
        <w:rPr>
          <w:b/>
        </w:rPr>
        <w:t xml:space="preserve">Procesní nárok navrhovatele a vyjádření družstva </w:t>
      </w:r>
      <w:r>
        <w:rPr>
          <w:i/>
        </w:rPr>
        <w:t>a)</w:t>
      </w:r>
      <w:r>
        <w:rPr>
          <w:rFonts w:ascii="Arial" w:eastAsia="Arial" w:hAnsi="Arial" w:cs="Arial"/>
          <w:i/>
        </w:rPr>
        <w:t xml:space="preserve"> </w:t>
      </w:r>
      <w:r>
        <w:rPr>
          <w:i/>
        </w:rPr>
        <w:t xml:space="preserve">Návrh na zahájení řízení </w:t>
      </w:r>
    </w:p>
    <w:p w14:paraId="541B3270" w14:textId="77777777" w:rsidR="00CA220E" w:rsidRDefault="00000000">
      <w:pPr>
        <w:numPr>
          <w:ilvl w:val="0"/>
          <w:numId w:val="2"/>
        </w:numPr>
        <w:ind w:right="0" w:hanging="635"/>
      </w:pPr>
      <w:r>
        <w:t xml:space="preserve">Navrhovatel se svým </w:t>
      </w:r>
      <w:r>
        <w:rPr>
          <w:b/>
        </w:rPr>
        <w:t>návrhem na zahájení řízení</w:t>
      </w:r>
      <w:r>
        <w:t xml:space="preserve">, který byl Krajskému soudu v Brně doručen 13. 3. 2024, domáhal – jako předseda představenstva Bytového družstva Podlesí, IČO 26295563, sídlem: Podlesí V 5407, 760 05 Zlín (dále jen </w:t>
      </w:r>
      <w:r>
        <w:rPr>
          <w:i/>
        </w:rPr>
        <w:t>„družstvo“</w:t>
      </w:r>
      <w:r>
        <w:t xml:space="preserve">) – toho, aby soud vyslovil neplatnost usnesení, která přijala členská schůze družstva (dále jen </w:t>
      </w:r>
      <w:r>
        <w:rPr>
          <w:i/>
        </w:rPr>
        <w:t>„členská schůze“</w:t>
      </w:r>
      <w:r>
        <w:t xml:space="preserve">) 1. 2. 2024 pod čísly </w:t>
      </w:r>
      <w:r>
        <w:rPr>
          <w:i/>
        </w:rPr>
        <w:t>„24020102-01“</w:t>
      </w:r>
      <w:r>
        <w:t xml:space="preserve"> a </w:t>
      </w:r>
      <w:r>
        <w:rPr>
          <w:i/>
        </w:rPr>
        <w:t>„24020103-01“</w:t>
      </w:r>
      <w:r>
        <w:t xml:space="preserve"> (dále též jen </w:t>
      </w:r>
      <w:r>
        <w:rPr>
          <w:i/>
        </w:rPr>
        <w:t>„napadená usnesení“</w:t>
      </w:r>
      <w:r>
        <w:t xml:space="preserve"> nebo </w:t>
      </w:r>
      <w:r>
        <w:rPr>
          <w:i/>
        </w:rPr>
        <w:t>„napadená usnesení členské schůze“</w:t>
      </w:r>
      <w:r>
        <w:t xml:space="preserve">). </w:t>
      </w:r>
    </w:p>
    <w:p w14:paraId="326AC76F" w14:textId="77777777" w:rsidR="00CA220E" w:rsidRDefault="00000000">
      <w:pPr>
        <w:numPr>
          <w:ilvl w:val="0"/>
          <w:numId w:val="2"/>
        </w:numPr>
        <w:spacing w:after="465"/>
        <w:ind w:right="0" w:hanging="635"/>
      </w:pPr>
      <w:r>
        <w:t xml:space="preserve">Členská schůze podle navrhovatele přijala napadená usnesení ve znění </w:t>
      </w:r>
      <w:r>
        <w:rPr>
          <w:i/>
        </w:rPr>
        <w:t>„pozměňovacích návrhů“</w:t>
      </w:r>
      <w:r>
        <w:t xml:space="preserve"> (protinávrhů) pana Jana </w:t>
      </w:r>
      <w:proofErr w:type="spellStart"/>
      <w:r>
        <w:t>Suroviče</w:t>
      </w:r>
      <w:proofErr w:type="spellEnd"/>
      <w:r>
        <w:t xml:space="preserve">. </w:t>
      </w:r>
    </w:p>
    <w:p w14:paraId="4571B182" w14:textId="77777777" w:rsidR="00CA220E" w:rsidRDefault="00000000">
      <w:pPr>
        <w:spacing w:after="0" w:line="259" w:lineRule="auto"/>
        <w:ind w:left="635" w:right="0" w:firstLine="0"/>
        <w:jc w:val="left"/>
      </w:pPr>
      <w:r>
        <w:rPr>
          <w:rFonts w:ascii="Times New Roman" w:eastAsia="Times New Roman" w:hAnsi="Times New Roman" w:cs="Times New Roman"/>
          <w:sz w:val="20"/>
        </w:rPr>
        <w:t xml:space="preserve">Shodu s prvopisem potvrzuje Michaela </w:t>
      </w:r>
      <w:proofErr w:type="spellStart"/>
      <w:r>
        <w:rPr>
          <w:rFonts w:ascii="Times New Roman" w:eastAsia="Times New Roman" w:hAnsi="Times New Roman" w:cs="Times New Roman"/>
          <w:sz w:val="20"/>
        </w:rPr>
        <w:t>Tahalová</w:t>
      </w:r>
      <w:proofErr w:type="spellEnd"/>
      <w:r>
        <w:rPr>
          <w:rFonts w:ascii="Times New Roman" w:eastAsia="Times New Roman" w:hAnsi="Times New Roman" w:cs="Times New Roman"/>
          <w:sz w:val="20"/>
        </w:rPr>
        <w:t xml:space="preserve">. </w:t>
      </w:r>
    </w:p>
    <w:p w14:paraId="35B3AD4E" w14:textId="77777777" w:rsidR="00CA220E" w:rsidRDefault="00000000">
      <w:pPr>
        <w:spacing w:after="0" w:line="259" w:lineRule="auto"/>
        <w:ind w:left="635" w:right="0" w:firstLine="0"/>
        <w:jc w:val="left"/>
      </w:pPr>
      <w:r>
        <w:rPr>
          <w:rFonts w:ascii="Times New Roman" w:eastAsia="Times New Roman" w:hAnsi="Times New Roman" w:cs="Times New Roman"/>
          <w:sz w:val="20"/>
        </w:rPr>
        <w:lastRenderedPageBreak/>
        <w:t xml:space="preserve"> </w:t>
      </w:r>
    </w:p>
    <w:p w14:paraId="490C6473" w14:textId="77777777" w:rsidR="00CA220E" w:rsidRDefault="00000000">
      <w:pPr>
        <w:numPr>
          <w:ilvl w:val="3"/>
          <w:numId w:val="3"/>
        </w:numPr>
        <w:spacing w:after="124"/>
        <w:ind w:right="0" w:hanging="358"/>
      </w:pPr>
      <w:r>
        <w:t xml:space="preserve">Napadené usnesení číslo </w:t>
      </w:r>
      <w:r>
        <w:rPr>
          <w:i/>
        </w:rPr>
        <w:t xml:space="preserve">„24020102-01“ </w:t>
      </w:r>
      <w:r>
        <w:t xml:space="preserve">bylo podle navrhovatele přijato ve znění: </w:t>
      </w:r>
      <w:r>
        <w:rPr>
          <w:i/>
        </w:rPr>
        <w:t>„</w:t>
      </w:r>
      <w:r w:rsidRPr="00A10160">
        <w:rPr>
          <w:b/>
          <w:bCs/>
          <w:i/>
          <w:color w:val="EE0000"/>
        </w:rPr>
        <w:t>Členská schůze schvaluje</w:t>
      </w:r>
      <w:r w:rsidRPr="00A10160">
        <w:rPr>
          <w:i/>
          <w:color w:val="EE0000"/>
        </w:rPr>
        <w:t xml:space="preserve"> </w:t>
      </w:r>
      <w:r>
        <w:rPr>
          <w:i/>
        </w:rPr>
        <w:t xml:space="preserve">převod garáží/garážového stání do vlastnictví členů družstva, kteří mají nájemní smlouvy ke garážím/garážovému stání, a to za sjednanou cenu celkem ve výši 1000 Kč. Členská schůze ukládá představenstvu zajistit vypracování prohlášení vlastníků, které umožní realizaci převodu a realizaci všech dalších úkonů nutných k uzavření převodních smluv včetně jejich samostatného uzavření. To vše nejpozději do šesti měsíců od tohoto usnesení“ </w:t>
      </w:r>
      <w:r>
        <w:t xml:space="preserve">(dále též jen </w:t>
      </w:r>
      <w:r>
        <w:rPr>
          <w:i/>
        </w:rPr>
        <w:t>„napadené usnesení č. 1“</w:t>
      </w:r>
      <w:r>
        <w:t xml:space="preserve">). </w:t>
      </w:r>
    </w:p>
    <w:p w14:paraId="7B7664D1" w14:textId="77777777" w:rsidR="00CA220E" w:rsidRDefault="00000000">
      <w:pPr>
        <w:numPr>
          <w:ilvl w:val="3"/>
          <w:numId w:val="3"/>
        </w:numPr>
        <w:spacing w:after="124"/>
        <w:ind w:right="0" w:hanging="358"/>
      </w:pPr>
      <w:r w:rsidRPr="006E1BB9">
        <w:rPr>
          <w:highlight w:val="cyan"/>
        </w:rPr>
        <w:t xml:space="preserve">Napadené usnesení číslo </w:t>
      </w:r>
      <w:r w:rsidRPr="006E1BB9">
        <w:rPr>
          <w:i/>
          <w:highlight w:val="cyan"/>
        </w:rPr>
        <w:t>„24020103-01“</w:t>
      </w:r>
      <w:r w:rsidRPr="006E1BB9">
        <w:rPr>
          <w:highlight w:val="cyan"/>
        </w:rPr>
        <w:t xml:space="preserve"> bylo podle navrhovatele přijato ve znění</w:t>
      </w:r>
      <w:r>
        <w:t xml:space="preserve">: </w:t>
      </w:r>
      <w:r>
        <w:rPr>
          <w:i/>
        </w:rPr>
        <w:t>„</w:t>
      </w:r>
      <w:r w:rsidRPr="00A10160">
        <w:rPr>
          <w:b/>
          <w:bCs/>
          <w:i/>
          <w:color w:val="EE0000"/>
        </w:rPr>
        <w:t xml:space="preserve">Členská schůze schvaluje </w:t>
      </w:r>
      <w:r>
        <w:rPr>
          <w:i/>
        </w:rPr>
        <w:t xml:space="preserve">příspěvek na náklady na provoz a správu ve výši 4,-Kč/m2 za zaměřené plochy garáže a garážového stání“ </w:t>
      </w:r>
      <w:r>
        <w:t xml:space="preserve">(dále též jen </w:t>
      </w:r>
      <w:r>
        <w:rPr>
          <w:i/>
        </w:rPr>
        <w:t>„napadené usnesení č. 2“</w:t>
      </w:r>
      <w:r>
        <w:t xml:space="preserve">). </w:t>
      </w:r>
    </w:p>
    <w:p w14:paraId="0806AC5A" w14:textId="77777777" w:rsidR="00CA220E" w:rsidRDefault="00000000">
      <w:pPr>
        <w:numPr>
          <w:ilvl w:val="0"/>
          <w:numId w:val="2"/>
        </w:numPr>
        <w:ind w:right="0" w:hanging="635"/>
      </w:pPr>
      <w:r>
        <w:t xml:space="preserve">Proti napadeným usnesením vznesl navrhovatel – podle svých tvrzení – protest již při jejich přijímání. Protože však </w:t>
      </w:r>
      <w:r>
        <w:rPr>
          <w:i/>
        </w:rPr>
        <w:t xml:space="preserve">„protesty nebyly v úplném znění zaprotokolovány do zápisu […], žalobce </w:t>
      </w:r>
      <w:r>
        <w:t>[navrhovatel – poznámka Krajského soudu v Brně]</w:t>
      </w:r>
      <w:r>
        <w:rPr>
          <w:i/>
        </w:rPr>
        <w:t xml:space="preserve"> opakoval v souladu se stanovami námitky ve lhůtě do jednoho měsíce od konání“</w:t>
      </w:r>
      <w:r>
        <w:t xml:space="preserve"> členské schůze. Podle navrhovatele byly jeho námitky doručeny představenstvu 29. 2. 2024. </w:t>
      </w:r>
    </w:p>
    <w:p w14:paraId="030EA714" w14:textId="77777777" w:rsidR="00CA220E" w:rsidRDefault="00000000">
      <w:pPr>
        <w:numPr>
          <w:ilvl w:val="0"/>
          <w:numId w:val="2"/>
        </w:numPr>
        <w:ind w:right="0" w:hanging="635"/>
      </w:pPr>
      <w:r>
        <w:t xml:space="preserve">Napadená usnesení jsou podle navrhovatele vadná z </w:t>
      </w:r>
      <w:r>
        <w:rPr>
          <w:b/>
        </w:rPr>
        <w:t>5 důvodů (žalobních bodů)</w:t>
      </w:r>
      <w:r>
        <w:t xml:space="preserve">, které navrhovatel formuloval v návrhu na zahájení řízení: </w:t>
      </w:r>
    </w:p>
    <w:p w14:paraId="642C6E73" w14:textId="77777777" w:rsidR="00CA220E" w:rsidRDefault="00000000">
      <w:pPr>
        <w:numPr>
          <w:ilvl w:val="3"/>
          <w:numId w:val="6"/>
        </w:numPr>
        <w:spacing w:after="7"/>
        <w:ind w:right="0" w:hanging="360"/>
      </w:pPr>
      <w:r>
        <w:t xml:space="preserve">Napadená usnesení obchází zákon a stanovy, protože stanovy neupravují podmínky pro získání nájmu bytu a také neupravují podmínky převodu bytů či jiných jednotek v bytových domech (odst. 61 návrhu na zahájení řízení). </w:t>
      </w:r>
    </w:p>
    <w:p w14:paraId="179616DC" w14:textId="77777777" w:rsidR="00CA220E" w:rsidRDefault="00000000">
      <w:pPr>
        <w:numPr>
          <w:ilvl w:val="3"/>
          <w:numId w:val="6"/>
        </w:numPr>
        <w:spacing w:after="7"/>
        <w:ind w:right="0" w:hanging="360"/>
      </w:pPr>
      <w:r>
        <w:t xml:space="preserve">Napadená usnesení jsou v rozporu s dobrými mravy </w:t>
      </w:r>
      <w:r w:rsidRPr="00A10160">
        <w:rPr>
          <w:b/>
          <w:bCs/>
          <w:color w:val="EE0000"/>
        </w:rPr>
        <w:t>pro jejich ekonomickou nevýhodnost</w:t>
      </w:r>
      <w:r w:rsidRPr="00A10160">
        <w:rPr>
          <w:color w:val="EE0000"/>
        </w:rPr>
        <w:t xml:space="preserve"> </w:t>
      </w:r>
      <w:r>
        <w:t xml:space="preserve">(odst. 59 a 60 návrhu na zahájení řízení). </w:t>
      </w:r>
    </w:p>
    <w:p w14:paraId="73F7C1AC" w14:textId="77777777" w:rsidR="00CA220E" w:rsidRDefault="00000000">
      <w:pPr>
        <w:numPr>
          <w:ilvl w:val="3"/>
          <w:numId w:val="6"/>
        </w:numPr>
        <w:spacing w:after="7"/>
        <w:ind w:right="0" w:hanging="360"/>
      </w:pPr>
      <w:r>
        <w:t xml:space="preserve">Napadená usnesení jsou v rozporu s dobrými mravy, neboť by jimi v podstatě došlo k </w:t>
      </w:r>
      <w:r>
        <w:rPr>
          <w:i/>
        </w:rPr>
        <w:t>„vyvlastnění“</w:t>
      </w:r>
      <w:r>
        <w:t xml:space="preserve"> majetku členů družstva, kteří nenabydou garáže či garážová stání bez adekvátní náhrady (odst. 40 návrhu na zahájení řízení). </w:t>
      </w:r>
    </w:p>
    <w:p w14:paraId="02CDD5D4" w14:textId="77777777" w:rsidR="00CA220E" w:rsidRDefault="00000000">
      <w:pPr>
        <w:numPr>
          <w:ilvl w:val="3"/>
          <w:numId w:val="6"/>
        </w:numPr>
        <w:spacing w:after="7"/>
        <w:ind w:right="0" w:hanging="360"/>
      </w:pPr>
      <w:r>
        <w:t xml:space="preserve">Při přijímání napadených usnesení došlo ke zneužití hlasovacích práv, neboť při přijímání napadených usnesení hlasovali i členové družstva, kterým měl být poskytnut majetek (dále též jen </w:t>
      </w:r>
      <w:r>
        <w:rPr>
          <w:i/>
        </w:rPr>
        <w:t>„garážníci“</w:t>
      </w:r>
      <w:r>
        <w:t xml:space="preserve">) (odst. 61 návrhu na zahájení řízení). </w:t>
      </w:r>
    </w:p>
    <w:p w14:paraId="2D90E0B0" w14:textId="77777777" w:rsidR="00CA220E" w:rsidRDefault="00000000">
      <w:pPr>
        <w:numPr>
          <w:ilvl w:val="3"/>
          <w:numId w:val="6"/>
        </w:numPr>
        <w:ind w:right="0" w:hanging="360"/>
      </w:pPr>
      <w:r>
        <w:t xml:space="preserve">Napadená usnesení jsou v rozporu s dobrými mravy, neboť garážníci protiprávně ovládli členskou schůzi, když lstivě vylákali plné moci od zbylých členů družstva (odst. 41 návrhu na zahájení řízení). </w:t>
      </w:r>
    </w:p>
    <w:p w14:paraId="2A087C09" w14:textId="77777777" w:rsidR="00CA220E" w:rsidRDefault="00000000">
      <w:pPr>
        <w:numPr>
          <w:ilvl w:val="0"/>
          <w:numId w:val="2"/>
        </w:numPr>
        <w:ind w:right="0" w:hanging="635"/>
      </w:pPr>
      <w:r>
        <w:t xml:space="preserve">Těchto 5 žalobních bodů navrhovatel na jednání, které se konalo 30. 1. 2025, rozšířil o další tvrzenou vadu napadeného usnesení č. 1, a sice že se toto napadené usnesení stalo </w:t>
      </w:r>
      <w:r>
        <w:rPr>
          <w:i/>
        </w:rPr>
        <w:t>obsoletní</w:t>
      </w:r>
      <w:r>
        <w:t xml:space="preserve"> (pozbylo významu), neboť nebylo realizováno ve lhůtě, kterou samo určuje. Změnu (rozšíření) návrhu na zahájení řízení o tento </w:t>
      </w:r>
      <w:r>
        <w:rPr>
          <w:b/>
        </w:rPr>
        <w:t>6. žalobní bod</w:t>
      </w:r>
      <w:r>
        <w:t xml:space="preserve"> Krajský soud v Brně připustil usnesením, které bylo vyhlášeno na jednání konaném 27. 3. 2025. </w:t>
      </w:r>
    </w:p>
    <w:p w14:paraId="228B2350" w14:textId="77777777" w:rsidR="00CA220E" w:rsidRDefault="00000000">
      <w:pPr>
        <w:numPr>
          <w:ilvl w:val="0"/>
          <w:numId w:val="2"/>
        </w:numPr>
        <w:ind w:right="0" w:hanging="635"/>
      </w:pPr>
      <w:r>
        <w:t xml:space="preserve">Navrhovatel – aniž by navrhl změnu (rozšíření) návrhu na zahájení řízení – na jednání, které se konalo 30. 1. 2025, rovněž </w:t>
      </w:r>
      <w:r>
        <w:rPr>
          <w:i/>
        </w:rPr>
        <w:t>„vyzval“</w:t>
      </w:r>
      <w:r>
        <w:t xml:space="preserve"> soud, aby se (z úřední povinnosti) zabýval i navrhovatelem tvrzenou neurčitostí a nesrozumitelností napadených usnesení. </w:t>
      </w:r>
    </w:p>
    <w:p w14:paraId="4ED676D3" w14:textId="77777777" w:rsidR="00CA220E" w:rsidRDefault="00000000">
      <w:pPr>
        <w:numPr>
          <w:ilvl w:val="0"/>
          <w:numId w:val="2"/>
        </w:numPr>
        <w:ind w:right="0" w:hanging="635"/>
      </w:pPr>
      <w:r>
        <w:t xml:space="preserve">Před tím, než navrhovatel jednotlivé žalobní body blíže vymezil, předestřel </w:t>
      </w:r>
      <w:r>
        <w:rPr>
          <w:b/>
        </w:rPr>
        <w:t>širší kontext</w:t>
      </w:r>
      <w:r>
        <w:t xml:space="preserve"> vztahů, který vyústil v přijetí napadených usnesení. </w:t>
      </w:r>
    </w:p>
    <w:p w14:paraId="1499506D" w14:textId="77777777" w:rsidR="00CA220E" w:rsidRDefault="00000000">
      <w:pPr>
        <w:numPr>
          <w:ilvl w:val="0"/>
          <w:numId w:val="2"/>
        </w:numPr>
        <w:ind w:right="0" w:hanging="635"/>
      </w:pPr>
      <w:r>
        <w:t xml:space="preserve">Navrhovatel uvedl, že družstvo je spoluvlastníkem 80,33% podílu na 6 bytových domech ve Zlíně (číslo popisné 5406, stojící na parcele č. 5887, číslo popisné 5407, stojící na parcele č. 5888, číslo popisné 5408, stojící na parcele č. 5889, číslo popisné 5409, stojící na parcele č. 5890, číslo popisné 5410, stojící na parcele č. 5891, a číslo popisné 5411, stojící na parcele č. 5892, nacházející se v katastrálním území Zlín, zapsané v listu vlastnictví číslo 21942; dále jen </w:t>
      </w:r>
      <w:r>
        <w:rPr>
          <w:i/>
        </w:rPr>
        <w:t>„bytový dům číslo popisné“</w:t>
      </w:r>
      <w:r>
        <w:t xml:space="preserve"> nebo společně jen </w:t>
      </w:r>
      <w:r>
        <w:rPr>
          <w:i/>
        </w:rPr>
        <w:t>„bytové domy“</w:t>
      </w:r>
      <w:r>
        <w:t xml:space="preserve">). Zbývající (spolu)vlastnický podíl na bytových domech je </w:t>
      </w:r>
    </w:p>
    <w:p w14:paraId="58AF1BEB" w14:textId="77777777" w:rsidR="00CA220E" w:rsidRDefault="00000000">
      <w:pPr>
        <w:spacing w:after="0" w:line="265" w:lineRule="auto"/>
        <w:ind w:left="10" w:right="-14" w:hanging="10"/>
        <w:jc w:val="right"/>
      </w:pPr>
      <w:r>
        <w:rPr>
          <w:rFonts w:ascii="Times New Roman" w:eastAsia="Times New Roman" w:hAnsi="Times New Roman" w:cs="Times New Roman"/>
          <w:sz w:val="20"/>
        </w:rPr>
        <w:lastRenderedPageBreak/>
        <w:t xml:space="preserve">   </w:t>
      </w:r>
      <w:r>
        <w:t xml:space="preserve">3                                                  62 Cm 18/2024 </w:t>
      </w:r>
    </w:p>
    <w:p w14:paraId="50CEFAA9" w14:textId="77777777" w:rsidR="00CA220E" w:rsidRDefault="00000000">
      <w:pPr>
        <w:spacing w:after="0" w:line="259" w:lineRule="auto"/>
        <w:ind w:left="635" w:right="0" w:firstLine="0"/>
        <w:jc w:val="left"/>
      </w:pPr>
      <w:r>
        <w:rPr>
          <w:rFonts w:ascii="Times New Roman" w:eastAsia="Times New Roman" w:hAnsi="Times New Roman" w:cs="Times New Roman"/>
          <w:sz w:val="20"/>
        </w:rPr>
        <w:t xml:space="preserve"> </w:t>
      </w:r>
    </w:p>
    <w:p w14:paraId="2F72FBA3" w14:textId="77777777" w:rsidR="00CA220E" w:rsidRDefault="00000000">
      <w:pPr>
        <w:ind w:left="635" w:right="0" w:firstLine="0"/>
      </w:pPr>
      <w:r>
        <w:t xml:space="preserve">ve (spolu)vlastnictví statutárního města Zlín, k čemuž navrhovatel dodal, že spoluvlastnické podíly neodpovídaly faktickému poměru investic od výstavby, ale byly takto zapsány do katastru nemovitostí </w:t>
      </w:r>
      <w:r>
        <w:rPr>
          <w:i/>
        </w:rPr>
        <w:t>„vzhledem k podmínce stanovené pro čerpání dotace ze Státního fondu rozvoje bydlení“</w:t>
      </w:r>
      <w:r>
        <w:t xml:space="preserve">. Na výstavbu bytových domů přispěli členové družstva svými členskými vklady, dalšími členskými vklady a další majetkovou účastí. Družstvo nabylo bytové domy </w:t>
      </w:r>
      <w:r>
        <w:rPr>
          <w:i/>
        </w:rPr>
        <w:t>„výstavbou na základě smluv o sdružení“</w:t>
      </w:r>
      <w:r>
        <w:t xml:space="preserve">, která byla uzavřena se statutárním městem Zlín. Ve smlouvě o sdružení se družstvo se statutárním městem Zlín dohodlo (mimo jiné) na tom, že po dobu nejméně 20 let od kolaudace nedojde k převodu spoluvlastnických podílů k bytovým domům, což bylo jednou z podmínek čerpání dotace Státního fondu rozvoje bydlení. Podmínky smlouvy o sdružení přitom pro družstvo nebyly výhodné, což je dáno skutečností, že statutární město Zlín bylo od roku 2002 do roku 2005 zakladatelem a ovládající osobou družstva. Družstvo při výstavbě investovalo do bytových domů zhruba o 66 % více finančních prostředků než statutární město Zlín. Přesto mělo družstvo původně spoluvlastnický podíl na bytových domech jen ve výši 49 % a až na podzim 2023 darovalo statutární město Zlín družstvo zhruba 34% spoluvlastnický podíl na bytových domech s tím, že </w:t>
      </w:r>
      <w:r>
        <w:rPr>
          <w:i/>
        </w:rPr>
        <w:t>„ohledně zbylého spoluvlastnického podílu […] je ochotno jej převést za cenu obvyklou.“</w:t>
      </w:r>
      <w:r>
        <w:t xml:space="preserve"> Při vstupu členů družstva do družstva v roce 2002 přitom bylo zástupci statutárního města Zlín (jakožto zakladatele družstva) </w:t>
      </w:r>
      <w:r>
        <w:rPr>
          <w:i/>
        </w:rPr>
        <w:t>„deklarováno, že po uplynutí 20 let Statutární město Zlín převede svůj podíl na bytových domech […] do vlastnictví družstva či členů družstva za 1 Kč“</w:t>
      </w:r>
      <w:r>
        <w:t xml:space="preserve">. Posledních více než 15 let (zhruba od roku 2009) ovšem statutární město Zlín tvrdí, že závazek převést byty za 1 Kč je neplatný a že za tuto částku byty do vlastnictví členů družstva nepřevede. </w:t>
      </w:r>
    </w:p>
    <w:p w14:paraId="692C78AD" w14:textId="77777777" w:rsidR="00CA220E" w:rsidRDefault="00000000">
      <w:pPr>
        <w:numPr>
          <w:ilvl w:val="0"/>
          <w:numId w:val="2"/>
        </w:numPr>
        <w:ind w:right="0" w:hanging="635"/>
      </w:pPr>
      <w:r>
        <w:t xml:space="preserve">V každém z bytových domů se nachází 3 garáže a 5 garážových stání. Tyto garáže a garážová stání byly některým členům družstva přenechány do nájmu na dobu 20 let. Jako součást nájemních smluv bylo – podle navrhovatele neplatně – sjednáno právo nájemců odkoupit garáže či garážová stání, a to po skončení nájmu za 1 000 Kč. Tato </w:t>
      </w:r>
      <w:r>
        <w:rPr>
          <w:i/>
        </w:rPr>
        <w:t>„konstrukce“</w:t>
      </w:r>
      <w:r>
        <w:t xml:space="preserve"> fakticky navazovala na příslib statutárního města Zlín, že po uplynutí 20 let převede za symbolickou částku svůj spoluvlastnický podíl na bytových domech. Částky ve výši 1 Kč za byt a 1 000 Kč za garáž rozhodně nepředstavovaly </w:t>
      </w:r>
      <w:r>
        <w:rPr>
          <w:i/>
        </w:rPr>
        <w:t>„doplatek objektivně stanovené kupní ceny“</w:t>
      </w:r>
      <w:r>
        <w:t xml:space="preserve">, měly představovat ochotu statutárního města Zlín </w:t>
      </w:r>
      <w:r>
        <w:rPr>
          <w:i/>
        </w:rPr>
        <w:t>„neponechat si majetek získaný z prostředků dotace poskytnuté státem, a hlavně vytvořit výhodnou nabídku pro zájemce o bydlení“</w:t>
      </w:r>
      <w:r>
        <w:t xml:space="preserve">. Podle navrhovatele se tak </w:t>
      </w:r>
      <w:r>
        <w:rPr>
          <w:i/>
        </w:rPr>
        <w:t>„základní spor v dané věci odvíjí“</w:t>
      </w:r>
      <w:r>
        <w:t xml:space="preserve"> od toho, zda jsou nájemní smlouvy platné (což navrhovatel vylučuje), </w:t>
      </w:r>
      <w:r w:rsidRPr="00A10160">
        <w:rPr>
          <w:b/>
          <w:bCs/>
        </w:rPr>
        <w:t xml:space="preserve">resp. zda členové družstva </w:t>
      </w:r>
      <w:r w:rsidRPr="00A10160">
        <w:rPr>
          <w:b/>
          <w:bCs/>
          <w:i/>
        </w:rPr>
        <w:t>„měli či neměli legitimní očekávání ohledně uzavření budoucích kupních smluv na převod garáží a garážových stání“</w:t>
      </w:r>
      <w:r w:rsidRPr="00A10160">
        <w:rPr>
          <w:b/>
          <w:bCs/>
        </w:rPr>
        <w:t xml:space="preserve"> a zda se se členové družstva podíleli na pořízení garáží a garážových stání členskými vklady.</w:t>
      </w:r>
      <w:r>
        <w:t xml:space="preserve"> </w:t>
      </w:r>
    </w:p>
    <w:p w14:paraId="6A1E643B" w14:textId="77777777" w:rsidR="00CA220E" w:rsidRDefault="00000000">
      <w:pPr>
        <w:numPr>
          <w:ilvl w:val="0"/>
          <w:numId w:val="2"/>
        </w:numPr>
        <w:ind w:right="0" w:hanging="635"/>
      </w:pPr>
      <w:r>
        <w:rPr>
          <w:b/>
        </w:rPr>
        <w:t>K prvním 3 žalobním bodům</w:t>
      </w:r>
      <w:r>
        <w:t xml:space="preserve">, jak jsou vymezeny v odst. 4 tohoto usnesení, navrhovatel (v kontextu právě tvrzených skutečností), uvedl, že napadená usnesení jsou </w:t>
      </w:r>
      <w:r>
        <w:rPr>
          <w:i/>
        </w:rPr>
        <w:t>„ekonomicky výrazně nespravedlivá pro část členů […] družstva“</w:t>
      </w:r>
      <w:r>
        <w:t xml:space="preserve"> a poskytují </w:t>
      </w:r>
      <w:r>
        <w:rPr>
          <w:i/>
        </w:rPr>
        <w:t>„</w:t>
      </w:r>
      <w:r w:rsidRPr="00A10160">
        <w:rPr>
          <w:b/>
          <w:bCs/>
          <w:i/>
          <w:color w:val="EE0000"/>
        </w:rPr>
        <w:t>bezdůvodnou ekonomickou výhodu jen některým členům</w:t>
      </w:r>
      <w:r w:rsidRPr="00A10160">
        <w:rPr>
          <w:i/>
          <w:color w:val="EE0000"/>
        </w:rPr>
        <w:t xml:space="preserve"> </w:t>
      </w:r>
      <w:r>
        <w:rPr>
          <w:i/>
        </w:rPr>
        <w:t>(36 členům BD z celkového počtu 159) družstva.“</w:t>
      </w:r>
      <w:r>
        <w:t xml:space="preserve"> </w:t>
      </w:r>
      <w:r w:rsidRPr="00A10160">
        <w:rPr>
          <w:b/>
          <w:bCs/>
        </w:rPr>
        <w:t xml:space="preserve">Někteří členové družstva by totiž </w:t>
      </w:r>
      <w:r w:rsidRPr="00A10160">
        <w:rPr>
          <w:b/>
          <w:bCs/>
          <w:i/>
        </w:rPr>
        <w:t>„přišli o majetek, na kterém se podíleli svými členskými vklady, a to bez spravedlivé a přiměřené náhrady</w:t>
      </w:r>
      <w:r>
        <w:rPr>
          <w:i/>
        </w:rPr>
        <w:t>“</w:t>
      </w:r>
      <w:r>
        <w:t xml:space="preserve">. Navíc by </w:t>
      </w:r>
      <w:r>
        <w:rPr>
          <w:i/>
        </w:rPr>
        <w:t>„měli nést část nákladů na provoz a správu těchto prostor, které budou již ve vlastnictví jen některých členů“</w:t>
      </w:r>
      <w:r>
        <w:t xml:space="preserve"> družstva. </w:t>
      </w:r>
      <w:r w:rsidRPr="00A10160">
        <w:rPr>
          <w:b/>
          <w:bCs/>
        </w:rPr>
        <w:t>Všichni (bydlící) členové družstva se podle navrhovatele společně a nerozdílně podíleli svými členskými vklady a volnými finančními prostředky na celé ceně výstavby bytových domů.</w:t>
      </w:r>
      <w:r>
        <w:t xml:space="preserve"> Cena garáží a garážových stání přitom nebyla nikdy </w:t>
      </w:r>
      <w:r>
        <w:rPr>
          <w:i/>
        </w:rPr>
        <w:t>„samostatně žádným způsobem stanovena.“</w:t>
      </w:r>
      <w:r>
        <w:t xml:space="preserve"> V současné době tedy není samostatně stanovena pořizovací cena garáží a garážových stání, a tak </w:t>
      </w:r>
      <w:r>
        <w:rPr>
          <w:i/>
        </w:rPr>
        <w:t xml:space="preserve">„nelze ani stanovit podíl, který by za jejich převod měli nájemníci garáží a garážových stání spravedlivě zaplatit.“ </w:t>
      </w:r>
    </w:p>
    <w:p w14:paraId="093F70F9" w14:textId="367B1DD8" w:rsidR="00CA220E" w:rsidRPr="00A10160" w:rsidRDefault="00000000" w:rsidP="00A10160">
      <w:pPr>
        <w:numPr>
          <w:ilvl w:val="0"/>
          <w:numId w:val="2"/>
        </w:numPr>
        <w:ind w:right="0" w:hanging="635"/>
        <w:rPr>
          <w:b/>
          <w:bCs/>
        </w:rPr>
      </w:pPr>
      <w:r>
        <w:t>Garáže a garážová stání v bytových domech jsou podle navrhovatele majetkem</w:t>
      </w:r>
      <w:r w:rsidRPr="00A10160">
        <w:rPr>
          <w:b/>
          <w:bCs/>
        </w:rPr>
        <w:t xml:space="preserve">, ke kterému se vztahuje základní členský vklad všech členů družstva. </w:t>
      </w:r>
      <w:r>
        <w:t xml:space="preserve">Pokud by tedy byly garáže a garážová </w:t>
      </w:r>
      <w:r>
        <w:lastRenderedPageBreak/>
        <w:t xml:space="preserve">stání převedeny na garážníky za podmínek stanovených v napadeném usnesení č. 1, došlo by tím podle navrhovatele </w:t>
      </w:r>
      <w:r>
        <w:rPr>
          <w:i/>
        </w:rPr>
        <w:t>„</w:t>
      </w:r>
      <w:r w:rsidRPr="00A10160">
        <w:rPr>
          <w:b/>
          <w:bCs/>
          <w:i/>
        </w:rPr>
        <w:t>v podstatě […] k vyvlastnění“</w:t>
      </w:r>
      <w:r w:rsidRPr="00A10160">
        <w:rPr>
          <w:b/>
          <w:bCs/>
        </w:rPr>
        <w:t xml:space="preserve"> majetku zbývajících členů družstva </w:t>
      </w:r>
      <w:r w:rsidRPr="00A10160">
        <w:rPr>
          <w:b/>
          <w:bCs/>
          <w:i/>
        </w:rPr>
        <w:t>„bez adekvátní náhrady“</w:t>
      </w:r>
      <w:r w:rsidRPr="00A10160">
        <w:rPr>
          <w:b/>
          <w:bCs/>
        </w:rPr>
        <w:t xml:space="preserve">. Tím by podle navrhovatele bylo zasaženo do práv některých členů družstva, </w:t>
      </w:r>
      <w:r>
        <w:t xml:space="preserve">neboť by těm členům družstva, kteří garáže a garážová stání nenabydou, nebyla poskytnuta přiměřená náhrada za majetek pořízený z jejich členských vkladů. Dále by tím </w:t>
      </w:r>
      <w:r w:rsidRPr="00A10160">
        <w:rPr>
          <w:i/>
        </w:rPr>
        <w:t>„byla vyloučena možnost, aby na základě žádosti jiného bydlícího člena […] družstva mohla být uzavřena nájemní smlouva na garáž a garážové stání právě s ním a v důsledku toho byla i vyloučena možnost, aby tyto garáže za uvedených podmínek nabyl i on do svého vlastnictví.“</w:t>
      </w:r>
      <w:r>
        <w:t xml:space="preserve"> Podle navrhovatele by se tak jednalo </w:t>
      </w:r>
      <w:r w:rsidRPr="00A10160">
        <w:rPr>
          <w:i/>
        </w:rPr>
        <w:t>„</w:t>
      </w:r>
      <w:r w:rsidRPr="00A10160">
        <w:rPr>
          <w:b/>
          <w:bCs/>
          <w:i/>
        </w:rPr>
        <w:t>o diskriminaci ostatních členů družstva, kteří se stejnou měrou podíleli svými vklady na výstavbě bytových domů.</w:t>
      </w:r>
      <w:r w:rsidRPr="00A10160">
        <w:rPr>
          <w:i/>
        </w:rPr>
        <w:t xml:space="preserve">“ </w:t>
      </w:r>
      <w:r>
        <w:t xml:space="preserve">Navrhovatel měl za to, že </w:t>
      </w:r>
      <w:r w:rsidRPr="00A10160">
        <w:rPr>
          <w:i/>
        </w:rPr>
        <w:t>„</w:t>
      </w:r>
      <w:r w:rsidRPr="00A10160">
        <w:rPr>
          <w:b/>
          <w:bCs/>
          <w:i/>
          <w:color w:val="EE0000"/>
        </w:rPr>
        <w:t>s ohledem na ekonomickou nespravedlnost vůči některým členům</w:t>
      </w:r>
      <w:r w:rsidRPr="00A10160">
        <w:rPr>
          <w:i/>
        </w:rPr>
        <w:t xml:space="preserve"> […] družstva“</w:t>
      </w:r>
      <w:r>
        <w:t xml:space="preserve"> by byla realizace napadených usnesení </w:t>
      </w:r>
      <w:r w:rsidRPr="00A10160">
        <w:rPr>
          <w:b/>
          <w:bCs/>
        </w:rPr>
        <w:t>v rozporu s dobrými mravy</w:t>
      </w:r>
      <w:r>
        <w:t xml:space="preserve">, což je třeba usadit do kontextu nerealizovaného převodu bytů za 1 Kč. Pokud by totiž převod bytů do vlastnictví členů družstva za dříve dohodnutých podmínek byl realizován, nevznikla by mezi jednotlivými členy družstva </w:t>
      </w:r>
      <w:r w:rsidRPr="00A10160">
        <w:rPr>
          <w:i/>
        </w:rPr>
        <w:t>„veliká ekonomická nespravedlnost“</w:t>
      </w:r>
      <w:r>
        <w:t xml:space="preserve">. Proto je třeba otázku </w:t>
      </w:r>
      <w:r w:rsidRPr="00A10160">
        <w:rPr>
          <w:i/>
        </w:rPr>
        <w:t xml:space="preserve">„ekonomické spravedlnosti“ </w:t>
      </w:r>
      <w:r>
        <w:t>převodu a užívání garáží a garážových stání hodnotit v širším kontextu.</w:t>
      </w:r>
      <w:r w:rsidRPr="00A10160">
        <w:rPr>
          <w:i/>
        </w:rPr>
        <w:t xml:space="preserve"> </w:t>
      </w:r>
    </w:p>
    <w:p w14:paraId="61DDC40A" w14:textId="77777777" w:rsidR="00CA220E" w:rsidRDefault="00000000">
      <w:pPr>
        <w:numPr>
          <w:ilvl w:val="0"/>
          <w:numId w:val="2"/>
        </w:numPr>
        <w:ind w:right="0" w:hanging="635"/>
      </w:pPr>
      <w:r>
        <w:t xml:space="preserve">Závěrem navrhovatel dodal, </w:t>
      </w:r>
      <w:r w:rsidRPr="00EA5A99">
        <w:rPr>
          <w:b/>
          <w:bCs/>
        </w:rPr>
        <w:t>že družstvo nesmí své jednotlivé členy zvýhodňovat ani znevýhodňovat a musí šetřit jejich členská práva a oprávněné zájmy</w:t>
      </w:r>
      <w:r>
        <w:t>.</w:t>
      </w:r>
      <w:r>
        <w:rPr>
          <w:i/>
        </w:rPr>
        <w:t xml:space="preserve"> </w:t>
      </w:r>
      <w:r>
        <w:t xml:space="preserve">Napadená usnesení podle navrhovatele rovněž obchází zákon a stanovy, které </w:t>
      </w:r>
      <w:r>
        <w:rPr>
          <w:i/>
        </w:rPr>
        <w:t xml:space="preserve">„neupravují podmínky pro získání nájmu bytu a také neupravují podmínky převodu bytů či jiných jednotek v bytových domech.“ </w:t>
      </w:r>
      <w:r>
        <w:t>Před schválením převodu garáží a garážových stání tedy nejprve mělo dojít ke změně stanov.</w:t>
      </w:r>
      <w:r>
        <w:rPr>
          <w:i/>
        </w:rPr>
        <w:t xml:space="preserve"> </w:t>
      </w:r>
    </w:p>
    <w:p w14:paraId="13B6ADB2" w14:textId="77777777" w:rsidR="00CA220E" w:rsidRDefault="00000000">
      <w:pPr>
        <w:numPr>
          <w:ilvl w:val="0"/>
          <w:numId w:val="2"/>
        </w:numPr>
        <w:spacing w:after="124"/>
        <w:ind w:right="0" w:hanging="635"/>
      </w:pPr>
      <w:r>
        <w:rPr>
          <w:b/>
        </w:rPr>
        <w:t>Ke 4. žalobnímu bodu</w:t>
      </w:r>
      <w:r>
        <w:t xml:space="preserve">, jak jsou jednotlivé žalobní body vymezeny v odst. 4 tohoto usnesení, navrhovatel uvedl, že jsou napadená usnesení neplatná také proto, že při jejich přijímání došlo </w:t>
      </w:r>
      <w:r>
        <w:rPr>
          <w:i/>
        </w:rPr>
        <w:t xml:space="preserve">„ke zneužití hlasovacích práv členů […] družstva, </w:t>
      </w:r>
      <w:proofErr w:type="gramStart"/>
      <w:r>
        <w:rPr>
          <w:i/>
        </w:rPr>
        <w:t>jenž</w:t>
      </w:r>
      <w:proofErr w:type="gramEnd"/>
      <w:r>
        <w:rPr>
          <w:i/>
        </w:rPr>
        <w:t xml:space="preserve"> sami hlasovali ve věci, ve které jim [měl] být […] poskytnut majetek či majetková výhoda oproti ostatním členům […], kteří ji nezískají“</w:t>
      </w:r>
      <w:r>
        <w:t xml:space="preserve">. V důsledku svého hlasování tak měli garážníci získat </w:t>
      </w:r>
      <w:r>
        <w:rPr>
          <w:i/>
        </w:rPr>
        <w:t xml:space="preserve">„ekonomickou výhodu založenou výsledkem usnesení.“ </w:t>
      </w:r>
    </w:p>
    <w:p w14:paraId="62323504" w14:textId="77777777" w:rsidR="00CA220E" w:rsidRPr="00A10160" w:rsidRDefault="00000000">
      <w:pPr>
        <w:numPr>
          <w:ilvl w:val="0"/>
          <w:numId w:val="2"/>
        </w:numPr>
        <w:ind w:right="0" w:hanging="635"/>
        <w:rPr>
          <w:b/>
          <w:bCs/>
        </w:rPr>
      </w:pPr>
      <w:r>
        <w:t xml:space="preserve">Ve vztahu </w:t>
      </w:r>
      <w:r>
        <w:rPr>
          <w:b/>
        </w:rPr>
        <w:t>k 5. žalobnímu bodu</w:t>
      </w:r>
      <w:r>
        <w:t>, jak jsou jednotlivé žalobní body vymezeny v odst. 4 tohoto usnesení, navrhovatel uvedl, že garážníci před konáním členské schůze, která přijala napadená usnesení, oslovili další (řadové) členy družstva s žádostmi, aby jim tito (řadoví) členové družstva udělili plné moci pro zastupování na členské schůzi. Podle navrhovatele garážníci při komunikaci se členy družstva, které oslovili</w:t>
      </w:r>
      <w:r>
        <w:rPr>
          <w:i/>
        </w:rPr>
        <w:t>, „</w:t>
      </w:r>
      <w:r w:rsidRPr="00A10160">
        <w:rPr>
          <w:b/>
          <w:bCs/>
          <w:i/>
        </w:rPr>
        <w:t>tvrdili, že na udělení souhlasu k převodu garáží a garážových stání mají právo, protože si za tyto garáže a garážová stání již zaplatili.“</w:t>
      </w:r>
      <w:r w:rsidRPr="00A10160">
        <w:rPr>
          <w:b/>
          <w:bCs/>
        </w:rPr>
        <w:t xml:space="preserve"> </w:t>
      </w:r>
      <w:r>
        <w:t xml:space="preserve">To je podle navrhovatele projevem </w:t>
      </w:r>
      <w:r>
        <w:rPr>
          <w:i/>
        </w:rPr>
        <w:t>„</w:t>
      </w:r>
      <w:r w:rsidRPr="00A10160">
        <w:rPr>
          <w:b/>
          <w:bCs/>
          <w:i/>
        </w:rPr>
        <w:t>nepoctivého, nekalého, lstivého a zákeřného jednání, motivovaného zištným, bezohledným, kořistnickým, a tedy zlým úmyslem</w:t>
      </w:r>
      <w:r>
        <w:rPr>
          <w:i/>
        </w:rPr>
        <w:t>“</w:t>
      </w:r>
      <w:r>
        <w:t xml:space="preserve">. Garážníci tedy ovládli členskou schůzi nezákonným způsobem. </w:t>
      </w:r>
      <w:r w:rsidRPr="00A10160">
        <w:rPr>
          <w:b/>
          <w:bCs/>
        </w:rPr>
        <w:t xml:space="preserve">Plné moci získali tak, že uváděli nepravdivá tvrzení, mimo jiné i to, že převod garáží a garážových stání je spojen s převodem bytů do </w:t>
      </w:r>
      <w:r w:rsidRPr="00A10160">
        <w:rPr>
          <w:b/>
          <w:bCs/>
          <w:i/>
        </w:rPr>
        <w:t>„osobního“</w:t>
      </w:r>
      <w:r w:rsidRPr="00A10160">
        <w:rPr>
          <w:b/>
          <w:bCs/>
        </w:rPr>
        <w:t xml:space="preserve"> vlastnictví jednotlivých (řadových) členů družstva.</w:t>
      </w:r>
      <w:r w:rsidRPr="00A10160">
        <w:rPr>
          <w:b/>
          <w:bCs/>
          <w:i/>
        </w:rPr>
        <w:t xml:space="preserve"> </w:t>
      </w:r>
    </w:p>
    <w:p w14:paraId="3B28D2DD" w14:textId="77777777" w:rsidR="00CA220E" w:rsidRDefault="00000000">
      <w:pPr>
        <w:numPr>
          <w:ilvl w:val="0"/>
          <w:numId w:val="2"/>
        </w:numPr>
        <w:ind w:right="0" w:hanging="635"/>
      </w:pPr>
      <w:r>
        <w:t xml:space="preserve">K </w:t>
      </w:r>
      <w:r>
        <w:rPr>
          <w:b/>
        </w:rPr>
        <w:t>6. žalobnímu bodu</w:t>
      </w:r>
      <w:r>
        <w:t xml:space="preserve">, jak je vymezen v odst. 5 tohoto usnesení, navrhovatel konečně uvedl, že napadené usnesení č. 1 je </w:t>
      </w:r>
      <w:r>
        <w:rPr>
          <w:i/>
        </w:rPr>
        <w:t>obsoletní</w:t>
      </w:r>
      <w:r>
        <w:t>, neboť nebylo realizováno ve lhůtě, kterou samo určuje, a tudíž je neplatné.</w:t>
      </w:r>
      <w:r>
        <w:rPr>
          <w:i/>
        </w:rPr>
        <w:t xml:space="preserve"> </w:t>
      </w:r>
    </w:p>
    <w:p w14:paraId="282E3E28" w14:textId="77777777" w:rsidR="00CA220E" w:rsidRDefault="00000000">
      <w:pPr>
        <w:numPr>
          <w:ilvl w:val="0"/>
          <w:numId w:val="2"/>
        </w:numPr>
        <w:ind w:right="0" w:hanging="635"/>
      </w:pPr>
      <w:r>
        <w:t xml:space="preserve">Ve vazbě na </w:t>
      </w:r>
      <w:r>
        <w:rPr>
          <w:i/>
        </w:rPr>
        <w:t>„výzvu“</w:t>
      </w:r>
      <w:r>
        <w:t xml:space="preserve"> navrhovatele, aby se soud zabýval také tím, že jsou napadená usnesení </w:t>
      </w:r>
      <w:r>
        <w:rPr>
          <w:b/>
        </w:rPr>
        <w:t>neurčitá a nesrozumitelná</w:t>
      </w:r>
      <w:r>
        <w:t>, navrhovatel uvedl, že z hlediska určitosti není zřejmé, o jaké garáže či garážová stání se v napadených usneseních hovoří, neboť garáže ani garážová stání nejsou v bytových domech vymezeny. Dále není jasné, zda má jít o garáže a garážová stání k datu přijetí napadených usnesení, či k plánovanému datu převodu. Podle navrhovatele je tedy neurčité, jaké garáže či jaká garážová stání, komu a v jaké lhůtě mají být převedeny. Ve vztahu k napadenému usnesení č. 2 pak navrhovatel dodal, že není jasné, za jaké období (den, měsíc či rok) má být tímto usnesením stanovený příspěvek vyměřován, a není jasné ani to, jak se má plocha garáží a garážových stání vypočíst.</w:t>
      </w:r>
      <w:r>
        <w:rPr>
          <w:i/>
        </w:rPr>
        <w:t xml:space="preserve"> </w:t>
      </w:r>
    </w:p>
    <w:p w14:paraId="11133E28" w14:textId="77777777" w:rsidR="00CA220E" w:rsidRDefault="00000000">
      <w:pPr>
        <w:numPr>
          <w:ilvl w:val="0"/>
          <w:numId w:val="2"/>
        </w:numPr>
        <w:ind w:right="0" w:hanging="635"/>
      </w:pPr>
      <w:r>
        <w:lastRenderedPageBreak/>
        <w:t xml:space="preserve">V rámci přednesu návrhu na zahájení řízení, k němuž došlo na jednání konaném 30. 1. 2025, navrhovatel – </w:t>
      </w:r>
      <w:r>
        <w:rPr>
          <w:b/>
        </w:rPr>
        <w:t xml:space="preserve">nad rámec žalobních bodů uvedených v odst. 4 a 5 </w:t>
      </w:r>
      <w:r>
        <w:t xml:space="preserve">tohoto usnesení – namítl neplatnost napadených usnesení z důvodů, že: </w:t>
      </w:r>
    </w:p>
    <w:p w14:paraId="2A442BCC" w14:textId="77777777" w:rsidR="00CA220E" w:rsidRDefault="00000000">
      <w:pPr>
        <w:spacing w:after="218" w:line="265" w:lineRule="auto"/>
        <w:ind w:left="10" w:right="-14" w:hanging="10"/>
        <w:jc w:val="right"/>
      </w:pPr>
      <w:r>
        <w:t xml:space="preserve">5                                                  62 Cm 18/2024 </w:t>
      </w:r>
    </w:p>
    <w:p w14:paraId="1450EB7B" w14:textId="77777777" w:rsidR="00CA220E" w:rsidRDefault="00000000">
      <w:pPr>
        <w:numPr>
          <w:ilvl w:val="4"/>
          <w:numId w:val="4"/>
        </w:numPr>
        <w:ind w:right="0" w:hanging="360"/>
      </w:pPr>
      <w:r>
        <w:t xml:space="preserve">je družstvo pouze spoluvlastníkem garáží a garážových stání, o nichž bylo napadenými usneseními rozhodováno, </w:t>
      </w:r>
    </w:p>
    <w:p w14:paraId="7F669443" w14:textId="77777777" w:rsidR="00CA220E" w:rsidRDefault="00000000">
      <w:pPr>
        <w:numPr>
          <w:ilvl w:val="4"/>
          <w:numId w:val="4"/>
        </w:numPr>
        <w:ind w:right="0" w:hanging="360"/>
      </w:pPr>
      <w:r>
        <w:t xml:space="preserve">není jasné, zda si členská schůze nemohla vyhradit hlasování </w:t>
      </w:r>
      <w:r>
        <w:rPr>
          <w:i/>
        </w:rPr>
        <w:t>„o těchto záležitostech“</w:t>
      </w:r>
      <w:r>
        <w:t xml:space="preserve">, </w:t>
      </w:r>
    </w:p>
    <w:p w14:paraId="1D52D297" w14:textId="77777777" w:rsidR="00CA220E" w:rsidRDefault="00000000">
      <w:pPr>
        <w:numPr>
          <w:ilvl w:val="4"/>
          <w:numId w:val="4"/>
        </w:numPr>
        <w:spacing w:after="0"/>
        <w:ind w:right="0" w:hanging="360"/>
      </w:pPr>
      <w:r w:rsidRPr="00A10160">
        <w:rPr>
          <w:b/>
          <w:bCs/>
          <w:color w:val="EE0000"/>
        </w:rPr>
        <w:t>nebyl udělen souhlas podle § 751 zákona č. 90/2012 Sb</w:t>
      </w:r>
      <w:r>
        <w:t xml:space="preserve">., o obchodních společnostech a družstvech (zákon o obchodních korporacích), ve znění pozdějších předpisů (dále jen </w:t>
      </w:r>
    </w:p>
    <w:p w14:paraId="0D65B543" w14:textId="77777777" w:rsidR="00CA220E" w:rsidRDefault="00000000">
      <w:pPr>
        <w:spacing w:after="124"/>
        <w:ind w:left="1649" w:right="0" w:hanging="10"/>
      </w:pPr>
      <w:r>
        <w:rPr>
          <w:i/>
        </w:rPr>
        <w:t>„z. o. k.“</w:t>
      </w:r>
      <w:r>
        <w:t xml:space="preserve">).  </w:t>
      </w:r>
    </w:p>
    <w:p w14:paraId="11E78CFB" w14:textId="77777777" w:rsidR="00CA220E" w:rsidRDefault="00000000">
      <w:pPr>
        <w:numPr>
          <w:ilvl w:val="0"/>
          <w:numId w:val="2"/>
        </w:numPr>
        <w:ind w:right="0" w:hanging="635"/>
      </w:pPr>
      <w:r>
        <w:t xml:space="preserve">Poté, kdy navrhovatele Krajský soud v Brně na jednání 30. 1. 2025 poučil o následcích opožděného uplatnění důvodů neplatnosti napadených usnesení členské schůze (k tomu srov. například usnesení Vrchního soudu v Praze ze dne 11. 6. 2021, </w:t>
      </w:r>
      <w:proofErr w:type="spellStart"/>
      <w:r>
        <w:t>sp</w:t>
      </w:r>
      <w:proofErr w:type="spellEnd"/>
      <w:r>
        <w:t xml:space="preserve">. zn. 7 </w:t>
      </w:r>
      <w:proofErr w:type="spellStart"/>
      <w:r>
        <w:t>Cmo</w:t>
      </w:r>
      <w:proofErr w:type="spellEnd"/>
      <w:r>
        <w:t xml:space="preserve"> 259/2018, odst. 22, ze dne 22. 9. 2021, </w:t>
      </w:r>
      <w:proofErr w:type="spellStart"/>
      <w:r>
        <w:t>sp</w:t>
      </w:r>
      <w:proofErr w:type="spellEnd"/>
      <w:r>
        <w:t xml:space="preserve">. zn. 7 </w:t>
      </w:r>
      <w:proofErr w:type="spellStart"/>
      <w:r>
        <w:t>Cmo</w:t>
      </w:r>
      <w:proofErr w:type="spellEnd"/>
      <w:r>
        <w:t xml:space="preserve"> 24/2021, ze dne 23. 4. 2025, </w:t>
      </w:r>
      <w:proofErr w:type="spellStart"/>
      <w:r>
        <w:t>sp</w:t>
      </w:r>
      <w:proofErr w:type="spellEnd"/>
      <w:r>
        <w:t xml:space="preserve">. zn. 9 </w:t>
      </w:r>
      <w:proofErr w:type="spellStart"/>
      <w:r>
        <w:t>Cmo</w:t>
      </w:r>
      <w:proofErr w:type="spellEnd"/>
      <w:r>
        <w:t xml:space="preserve"> 259/2024, odst. 21, ze dne 17. 7. 2025, </w:t>
      </w:r>
      <w:proofErr w:type="spellStart"/>
      <w:r>
        <w:t>sp</w:t>
      </w:r>
      <w:proofErr w:type="spellEnd"/>
      <w:r>
        <w:t xml:space="preserve">. zn. 9 </w:t>
      </w:r>
      <w:proofErr w:type="spellStart"/>
      <w:r>
        <w:t>Cmo</w:t>
      </w:r>
      <w:proofErr w:type="spellEnd"/>
      <w:r>
        <w:t xml:space="preserve"> 374/2024, odst. 22, ze dne 18. 9. 2025, </w:t>
      </w:r>
      <w:proofErr w:type="spellStart"/>
      <w:r>
        <w:t>sp</w:t>
      </w:r>
      <w:proofErr w:type="spellEnd"/>
      <w:r>
        <w:t xml:space="preserve">. zn. 9 </w:t>
      </w:r>
      <w:proofErr w:type="spellStart"/>
      <w:r>
        <w:t>Cmo</w:t>
      </w:r>
      <w:proofErr w:type="spellEnd"/>
      <w:r>
        <w:t xml:space="preserve"> 7/2025, odst. 37, jakož i literaturu v nich citovanou), navrhovatel výslovně uvedl, že změnu (rozšíření) návrhu na zahájení řízení o tvrzené důvody neplatnosti spočívající v tom, že: </w:t>
      </w:r>
    </w:p>
    <w:p w14:paraId="7B183127" w14:textId="77777777" w:rsidR="00CA220E" w:rsidRDefault="00000000">
      <w:pPr>
        <w:numPr>
          <w:ilvl w:val="4"/>
          <w:numId w:val="5"/>
        </w:numPr>
        <w:ind w:right="0" w:hanging="360"/>
      </w:pPr>
      <w:r>
        <w:t xml:space="preserve">družstvo je pouze spoluvlastníkem garáží a garážových stání, o nichž bylo napadenými usneseními rozhodováno, </w:t>
      </w:r>
    </w:p>
    <w:p w14:paraId="6A22994E" w14:textId="77777777" w:rsidR="00CA220E" w:rsidRDefault="00000000">
      <w:pPr>
        <w:numPr>
          <w:ilvl w:val="4"/>
          <w:numId w:val="5"/>
        </w:numPr>
        <w:spacing w:after="18" w:line="344" w:lineRule="auto"/>
        <w:ind w:right="0" w:hanging="360"/>
      </w:pPr>
      <w:r>
        <w:t xml:space="preserve">není jasné, zda si členská schůze nemohla vyhradit hlasování </w:t>
      </w:r>
      <w:r>
        <w:rPr>
          <w:i/>
        </w:rPr>
        <w:t>„o těchto záležitostech“</w:t>
      </w:r>
      <w:r>
        <w:t xml:space="preserve">, nenavrhuje. </w:t>
      </w:r>
    </w:p>
    <w:p w14:paraId="4C603428" w14:textId="77777777" w:rsidR="00CA220E" w:rsidRDefault="00000000">
      <w:pPr>
        <w:numPr>
          <w:ilvl w:val="0"/>
          <w:numId w:val="2"/>
        </w:numPr>
        <w:ind w:right="0" w:hanging="635"/>
      </w:pPr>
      <w:r w:rsidRPr="00591F49">
        <w:rPr>
          <w:b/>
          <w:bCs/>
        </w:rPr>
        <w:t>Ani změnu (rozšíření) návrhu na zahájení řízení o tvrzený důvod neplatnosti spočívající v tom, že nebyl udělen souhlas podle § 751 z. o. k., navrhovatel nenavrhl; ačkoli navrhovatele Krajský soud v Brně na jednání konaném 27. 3. 2025 seznámil s předběžným názorem, podle něhož tento důvod neplatnosti nebyl uplatněn v rámci návrhu na zahájení řízení</w:t>
      </w:r>
      <w:r>
        <w:t xml:space="preserve">. </w:t>
      </w:r>
    </w:p>
    <w:p w14:paraId="21BDAECF" w14:textId="77777777" w:rsidR="00CA220E" w:rsidRDefault="00000000">
      <w:pPr>
        <w:numPr>
          <w:ilvl w:val="0"/>
          <w:numId w:val="2"/>
        </w:numPr>
        <w:ind w:right="0" w:hanging="635"/>
      </w:pPr>
      <w:r>
        <w:t xml:space="preserve">Na jednání, které se konalo 30. 1. 2025, navrhovatel (aniž by navrhl změnu – rozšíření – návrhu na zahájení řízení) namítl konečně i to, že </w:t>
      </w:r>
      <w:r>
        <w:rPr>
          <w:b/>
        </w:rPr>
        <w:t>členské schůzi nenáleželo o věci rozhodovat</w:t>
      </w:r>
      <w:r>
        <w:t xml:space="preserve">, neboť družstvo není výlučným vlastníkem bytových domů. </w:t>
      </w:r>
      <w:r>
        <w:rPr>
          <w:i/>
        </w:rPr>
        <w:t>b)</w:t>
      </w:r>
      <w:r>
        <w:rPr>
          <w:rFonts w:ascii="Arial" w:eastAsia="Arial" w:hAnsi="Arial" w:cs="Arial"/>
          <w:i/>
        </w:rPr>
        <w:t xml:space="preserve"> </w:t>
      </w:r>
      <w:r>
        <w:rPr>
          <w:i/>
        </w:rPr>
        <w:t xml:space="preserve">Vyjádření družstva </w:t>
      </w:r>
    </w:p>
    <w:p w14:paraId="04E81198" w14:textId="77777777" w:rsidR="00CA220E" w:rsidRDefault="00000000">
      <w:pPr>
        <w:numPr>
          <w:ilvl w:val="0"/>
          <w:numId w:val="2"/>
        </w:numPr>
        <w:ind w:right="0" w:hanging="635"/>
      </w:pPr>
      <w:r>
        <w:t xml:space="preserve">Družstvo s návrhem navrhovatele na zahájení řízení nesouhlasilo a navrhlo, aby byl návrh na zahájení řízení </w:t>
      </w:r>
      <w:r>
        <w:rPr>
          <w:i/>
        </w:rPr>
        <w:t xml:space="preserve">„v plném rozsahu“ </w:t>
      </w:r>
      <w:r>
        <w:t xml:space="preserve">zamítnut. </w:t>
      </w:r>
    </w:p>
    <w:p w14:paraId="55F7B841" w14:textId="77777777" w:rsidR="00CA220E" w:rsidRDefault="00000000">
      <w:pPr>
        <w:numPr>
          <w:ilvl w:val="0"/>
          <w:numId w:val="2"/>
        </w:numPr>
        <w:ind w:right="0" w:hanging="635"/>
      </w:pPr>
      <w:r>
        <w:t xml:space="preserve">K </w:t>
      </w:r>
      <w:r>
        <w:rPr>
          <w:b/>
        </w:rPr>
        <w:t>prvním 3 žalobním bodům</w:t>
      </w:r>
      <w:r>
        <w:t xml:space="preserve"> družstvo poukázalo na to, že ekonomická výhodnost, rozumnost či věcná správnost opatření, o nichž rozhodl nejvyšší orgán kapitálové společnosti či družstva, se v soudním řízení </w:t>
      </w:r>
      <w:r w:rsidRPr="00A10160">
        <w:rPr>
          <w:b/>
          <w:bCs/>
          <w:color w:val="EE0000"/>
        </w:rPr>
        <w:t>zásadně (obecně) nepřezkoumává</w:t>
      </w:r>
      <w:r w:rsidRPr="00A10160">
        <w:rPr>
          <w:color w:val="EE0000"/>
        </w:rPr>
        <w:t xml:space="preserve"> </w:t>
      </w:r>
      <w:r>
        <w:t xml:space="preserve">(k čemuž družstvo odkázalo – mimo jiné – na závěry usnesení Nejvyššího soudu ze dne 17. 7. 2018, </w:t>
      </w:r>
      <w:proofErr w:type="spellStart"/>
      <w:r>
        <w:t>sp</w:t>
      </w:r>
      <w:proofErr w:type="spellEnd"/>
      <w:r>
        <w:t xml:space="preserve">. zn. 27 </w:t>
      </w:r>
      <w:proofErr w:type="spellStart"/>
      <w:r>
        <w:t>Cdo</w:t>
      </w:r>
      <w:proofErr w:type="spellEnd"/>
      <w:r>
        <w:t xml:space="preserve"> 1175/2017, a usnesení Vrchního soudu v Praze ze dne 5. 6. 2024, </w:t>
      </w:r>
      <w:proofErr w:type="spellStart"/>
      <w:r>
        <w:t>sp</w:t>
      </w:r>
      <w:proofErr w:type="spellEnd"/>
      <w:r>
        <w:t xml:space="preserve">. zn. 7 </w:t>
      </w:r>
      <w:proofErr w:type="spellStart"/>
      <w:r>
        <w:t>Cmo</w:t>
      </w:r>
      <w:proofErr w:type="spellEnd"/>
      <w:r>
        <w:t xml:space="preserve"> 58/2024, nebo ze dne 2. 4. 2025, </w:t>
      </w:r>
      <w:proofErr w:type="spellStart"/>
      <w:r>
        <w:t>sp</w:t>
      </w:r>
      <w:proofErr w:type="spellEnd"/>
      <w:r>
        <w:t xml:space="preserve">. zn. 7 </w:t>
      </w:r>
      <w:proofErr w:type="spellStart"/>
      <w:r>
        <w:t>Cmo</w:t>
      </w:r>
      <w:proofErr w:type="spellEnd"/>
      <w:r>
        <w:t xml:space="preserve"> 316/2024). </w:t>
      </w:r>
      <w:r w:rsidRPr="00A10160">
        <w:rPr>
          <w:b/>
          <w:bCs/>
          <w:color w:val="EE0000"/>
        </w:rPr>
        <w:t xml:space="preserve">Družstvo je obchodní korporací, která se může </w:t>
      </w:r>
      <w:r w:rsidRPr="00A10160">
        <w:rPr>
          <w:b/>
          <w:bCs/>
          <w:i/>
          <w:color w:val="EE0000"/>
        </w:rPr>
        <w:t>„demokraticky usnést i na ekonomicky nespravedlivých usneseních, aniž by orgán veřejné moci měl posuzovat rozumnost, spravedlivost či efektivnost usnesení“</w:t>
      </w:r>
      <w:r w:rsidRPr="00A10160">
        <w:rPr>
          <w:b/>
          <w:bCs/>
          <w:color w:val="EE0000"/>
        </w:rPr>
        <w:t>.</w:t>
      </w:r>
      <w:r w:rsidRPr="00A10160">
        <w:rPr>
          <w:color w:val="EE0000"/>
        </w:rPr>
        <w:t xml:space="preserve"> </w:t>
      </w:r>
      <w:r>
        <w:t xml:space="preserve">Nadto podle družstva napadená usnesení nejsou ekonomicky nevýhodná. Navrhovatel se podle družstva staví do role </w:t>
      </w:r>
      <w:r>
        <w:rPr>
          <w:i/>
        </w:rPr>
        <w:t xml:space="preserve">„ochránce“ </w:t>
      </w:r>
      <w:r>
        <w:t xml:space="preserve">poškozené menšiny. Ve skutečnosti ale velká část členů družstva (v kontextu složité majetkové historie družstva) nemá za to, že by převod garáží či garážových stání byl pro družstvo, resp. pro ně, nespravedlivý či nevýhodný. </w:t>
      </w:r>
      <w:r w:rsidRPr="00A10160">
        <w:rPr>
          <w:b/>
          <w:bCs/>
          <w:color w:val="EE0000"/>
          <w:u w:val="single"/>
        </w:rPr>
        <w:t>Naopak vnímají, že je spravedlivé, aby družstvo plnilo dohody, ke kterým se ve smlouvách o nájmu garáží a garážových stání zavázalo</w:t>
      </w:r>
      <w:r w:rsidRPr="00591F49">
        <w:rPr>
          <w:b/>
          <w:bCs/>
        </w:rPr>
        <w:t>.</w:t>
      </w:r>
      <w:r>
        <w:t xml:space="preserve"> </w:t>
      </w:r>
    </w:p>
    <w:p w14:paraId="1B646CC2" w14:textId="77777777" w:rsidR="00CA220E" w:rsidRDefault="00000000">
      <w:pPr>
        <w:numPr>
          <w:ilvl w:val="0"/>
          <w:numId w:val="2"/>
        </w:numPr>
        <w:ind w:right="0" w:hanging="635"/>
      </w:pPr>
      <w:r>
        <w:lastRenderedPageBreak/>
        <w:t xml:space="preserve">Družstvo dále uvedlo, že garáže a garážová stání jsou v současné době v podílovém spoluvlastnictví družstva a statutárního města Zlín s tím, že se všechny bytové domy nacházejí na pozemcích statutárního města Zlín. </w:t>
      </w:r>
      <w:r w:rsidRPr="00A10160">
        <w:rPr>
          <w:b/>
          <w:bCs/>
          <w:color w:val="EE0000"/>
          <w:highlight w:val="yellow"/>
        </w:rPr>
        <w:t>Na rozdíl od jednotlivých bytů v bytových domech nejsou garáže a garážová stání družstevním nebytovým prostorem (ve smyslu § 729 odst. 1 z. o. k.).</w:t>
      </w:r>
      <w:r w:rsidRPr="00A10160">
        <w:rPr>
          <w:color w:val="EE0000"/>
        </w:rPr>
        <w:t xml:space="preserve"> </w:t>
      </w:r>
    </w:p>
    <w:p w14:paraId="76AD0B77" w14:textId="77777777" w:rsidR="00CA220E" w:rsidRDefault="00000000">
      <w:pPr>
        <w:ind w:left="635" w:right="0" w:firstLine="0"/>
      </w:pPr>
      <w:r>
        <w:t xml:space="preserve">Podle družstva jde </w:t>
      </w:r>
      <w:r w:rsidRPr="00146782">
        <w:rPr>
          <w:b/>
          <w:bCs/>
          <w:color w:val="EE0000"/>
          <w:highlight w:val="yellow"/>
        </w:rPr>
        <w:t xml:space="preserve">o </w:t>
      </w:r>
      <w:r w:rsidRPr="00146782">
        <w:rPr>
          <w:b/>
          <w:bCs/>
          <w:i/>
          <w:color w:val="EE0000"/>
          <w:highlight w:val="yellow"/>
        </w:rPr>
        <w:t>„komerční prostory“</w:t>
      </w:r>
      <w:r w:rsidRPr="00146782">
        <w:rPr>
          <w:b/>
          <w:bCs/>
          <w:color w:val="EE0000"/>
          <w:highlight w:val="yellow"/>
        </w:rPr>
        <w:t>,</w:t>
      </w:r>
      <w:r w:rsidRPr="00146782">
        <w:rPr>
          <w:color w:val="EE0000"/>
        </w:rPr>
        <w:t xml:space="preserve"> </w:t>
      </w:r>
      <w:r>
        <w:t xml:space="preserve">se kterými může družstvo a statutární město Zlín nakládat podle vlastního uvážení, a to </w:t>
      </w:r>
      <w:r w:rsidRPr="00146782">
        <w:rPr>
          <w:b/>
          <w:bCs/>
          <w:color w:val="EE0000"/>
          <w:highlight w:val="yellow"/>
        </w:rPr>
        <w:t>i kdyby to pro ně bylo v konečném důsledku nevýhodné</w:t>
      </w:r>
      <w:r>
        <w:t xml:space="preserve">. </w:t>
      </w:r>
      <w:r w:rsidRPr="00146782">
        <w:rPr>
          <w:b/>
          <w:bCs/>
        </w:rPr>
        <w:t>Pro nakládání s vlastním majetkem přitom družstvo nepotřebuje výslovnou oporu ve stanovách.</w:t>
      </w:r>
      <w:r>
        <w:t xml:space="preserve"> </w:t>
      </w:r>
    </w:p>
    <w:p w14:paraId="679DCEE3" w14:textId="77777777" w:rsidR="00CA220E" w:rsidRDefault="00000000">
      <w:pPr>
        <w:numPr>
          <w:ilvl w:val="0"/>
          <w:numId w:val="2"/>
        </w:numPr>
        <w:ind w:right="0" w:hanging="635"/>
      </w:pPr>
      <w:r>
        <w:t xml:space="preserve">Družstvo dále poukázalo na dobrou víru garážníků, kteří s odkazem na ujednání ve smlouvách o nájmu garáží a garážových stání očekávali, že jim bude po uplynutí 20letého nájmu umožněno nabýt vlastnické právo za předem dohodnutých podmínek. V rozporu s dobrými mravy by tak podle něj bylo naopak, pokud by dohody uzavřené před 20 lety nebyly nedodrženy. Nájemné stanovené při uzavírání nájemních smluv (před 20 lety) přitom odpovídalo ceně, která byla za převod vlastnického práva ke garážím a garážovým stáním v daném místě a čase obvyklá. </w:t>
      </w:r>
    </w:p>
    <w:p w14:paraId="2C16C1A5" w14:textId="77777777" w:rsidR="00CA220E" w:rsidRDefault="00000000">
      <w:pPr>
        <w:numPr>
          <w:ilvl w:val="0"/>
          <w:numId w:val="2"/>
        </w:numPr>
        <w:ind w:right="0" w:hanging="635"/>
      </w:pPr>
      <w:r>
        <w:t xml:space="preserve">Smyslem napadeného usnesení č. 1 bylo podle družstva </w:t>
      </w:r>
      <w:r>
        <w:rPr>
          <w:i/>
        </w:rPr>
        <w:t>„legitimizovat“</w:t>
      </w:r>
      <w:r>
        <w:t xml:space="preserve"> družstvo k tomu, aby začalo vážně jednat se statutárním městem Zlín o rozdělní práv k bytovým domům na jednotky. Napadené usnesení č. 1 tedy není </w:t>
      </w:r>
      <w:r w:rsidRPr="00146782">
        <w:rPr>
          <w:b/>
          <w:bCs/>
          <w:i/>
        </w:rPr>
        <w:t>„</w:t>
      </w:r>
      <w:r w:rsidRPr="00146782">
        <w:rPr>
          <w:b/>
          <w:bCs/>
          <w:i/>
          <w:color w:val="EE0000"/>
          <w:highlight w:val="yellow"/>
        </w:rPr>
        <w:t>tzv. převodním usnesením“</w:t>
      </w:r>
      <w:r w:rsidRPr="00146782">
        <w:rPr>
          <w:b/>
          <w:bCs/>
          <w:color w:val="EE0000"/>
          <w:highlight w:val="yellow"/>
        </w:rPr>
        <w:t>.</w:t>
      </w:r>
      <w:r w:rsidRPr="00146782">
        <w:rPr>
          <w:b/>
          <w:bCs/>
          <w:color w:val="EE0000"/>
        </w:rPr>
        <w:t xml:space="preserve"> </w:t>
      </w:r>
      <w:r w:rsidRPr="00146782">
        <w:rPr>
          <w:b/>
          <w:bCs/>
        </w:rPr>
        <w:t xml:space="preserve">Jde o projev vůle družstva směřující k tomu, aby byl </w:t>
      </w:r>
      <w:r w:rsidRPr="00146782">
        <w:rPr>
          <w:b/>
          <w:bCs/>
          <w:i/>
        </w:rPr>
        <w:t xml:space="preserve">„konečně vyřešen stav, který v družstvu nyní panuje.“ </w:t>
      </w:r>
      <w:r w:rsidRPr="00146782">
        <w:rPr>
          <w:b/>
          <w:bCs/>
        </w:rPr>
        <w:t>Napadené usnesení č. 2 pak mělo čistě ekonomickou a provozní povahu.</w:t>
      </w:r>
      <w:r>
        <w:t xml:space="preserve"> </w:t>
      </w:r>
    </w:p>
    <w:p w14:paraId="000F8EFE" w14:textId="77777777" w:rsidR="00CA220E" w:rsidRDefault="00000000">
      <w:pPr>
        <w:numPr>
          <w:ilvl w:val="0"/>
          <w:numId w:val="2"/>
        </w:numPr>
        <w:spacing w:after="0"/>
        <w:ind w:right="0" w:hanging="635"/>
      </w:pPr>
      <w:r>
        <w:t xml:space="preserve">Ve vazbě na </w:t>
      </w:r>
      <w:r>
        <w:rPr>
          <w:b/>
        </w:rPr>
        <w:t>4. žalobní bod</w:t>
      </w:r>
      <w:r>
        <w:t xml:space="preserve"> družstvo odkázalo na § 660 z. o. k. a uvedlo, že se při hlasování o napadených usneseních nejednalo o žádnou ze situací vypočtených v tomto ustanovení. </w:t>
      </w:r>
    </w:p>
    <w:p w14:paraId="6FED54A7" w14:textId="77777777" w:rsidR="00CA220E" w:rsidRDefault="00000000">
      <w:pPr>
        <w:ind w:left="635" w:right="0" w:firstLine="0"/>
      </w:pPr>
      <w:r>
        <w:t>Podle družstva je přitom výčet § 660 z. o. k. úplný (</w:t>
      </w:r>
      <w:r>
        <w:rPr>
          <w:i/>
        </w:rPr>
        <w:t>taxativní</w:t>
      </w:r>
      <w:r>
        <w:t xml:space="preserve">) a nelze jej </w:t>
      </w:r>
      <w:r>
        <w:rPr>
          <w:i/>
        </w:rPr>
        <w:t>„stanovami ani usnesením členské schůze rozšiřovat.“</w:t>
      </w:r>
      <w:r>
        <w:t xml:space="preserve"> </w:t>
      </w:r>
    </w:p>
    <w:p w14:paraId="7ED57537" w14:textId="77777777" w:rsidR="00CA220E" w:rsidRDefault="00000000">
      <w:pPr>
        <w:numPr>
          <w:ilvl w:val="0"/>
          <w:numId w:val="2"/>
        </w:numPr>
        <w:ind w:right="0" w:hanging="635"/>
      </w:pPr>
      <w:r>
        <w:rPr>
          <w:b/>
        </w:rPr>
        <w:t xml:space="preserve">K 5. žalobnímu bodu </w:t>
      </w:r>
      <w:r>
        <w:t xml:space="preserve">družstvo uvedlo, </w:t>
      </w:r>
      <w:r w:rsidRPr="00146782">
        <w:rPr>
          <w:b/>
          <w:bCs/>
        </w:rPr>
        <w:t>že údajné lstivé vylákání plných mocí nebylo prokázáno, a odmítlo, že by k takovému vylákání plných mocí došlo.</w:t>
      </w:r>
      <w:r>
        <w:t xml:space="preserve"> Nadto uvedlo, že navrhovatel tvrdí, že bylo na členské schůzi hlasováno na základě 20 plných mocí. Celkem bylo na členské schůzi 136 členů a pro přijetí napadených usnesení bylo odevzdáno 82 hlasů. I po odečtení 20 hlasů odevzdaných na základě plných mocí, které navrhovatel zpochybňuje, by tak napadená usnesení byla přijata. K tomu družstvo konečně poznamenalo, že </w:t>
      </w:r>
      <w:r>
        <w:rPr>
          <w:i/>
        </w:rPr>
        <w:t>„i navrhovatel disponoval na členské schůzi plnými mocemi.“</w:t>
      </w:r>
      <w:r>
        <w:t xml:space="preserve"> </w:t>
      </w:r>
    </w:p>
    <w:p w14:paraId="5DFEB1D8" w14:textId="77777777" w:rsidR="00CA220E" w:rsidRDefault="00000000">
      <w:pPr>
        <w:numPr>
          <w:ilvl w:val="0"/>
          <w:numId w:val="2"/>
        </w:numPr>
        <w:ind w:right="0" w:hanging="635"/>
      </w:pPr>
      <w:r>
        <w:t xml:space="preserve">Ve vztahu k </w:t>
      </w:r>
      <w:r>
        <w:rPr>
          <w:b/>
        </w:rPr>
        <w:t>6. žalobnímu bodu</w:t>
      </w:r>
      <w:r>
        <w:t xml:space="preserve"> družstvo uvedlo, že </w:t>
      </w:r>
      <w:proofErr w:type="spellStart"/>
      <w:r>
        <w:rPr>
          <w:i/>
        </w:rPr>
        <w:t>obsoletnost</w:t>
      </w:r>
      <w:proofErr w:type="spellEnd"/>
      <w:r>
        <w:t xml:space="preserve"> (zastaralost, neaktuálnost) není a nemůže být důvodem neplatnosti napadeného usnesení č. 1. Lhůta, kterou si členská schůze určila, měla povahu vnitřní organizační instrukce, nikoli právní podmínky platnosti. Nadto podle družstva není jasné, proč proti napadenému usnesení č. 1 navrhovatel tolik brojí, má-li jej za </w:t>
      </w:r>
      <w:r>
        <w:rPr>
          <w:i/>
        </w:rPr>
        <w:t>obsoletní</w:t>
      </w:r>
      <w:r>
        <w:t xml:space="preserve">. </w:t>
      </w:r>
    </w:p>
    <w:p w14:paraId="0EF996D8" w14:textId="77777777" w:rsidR="00CA220E" w:rsidRDefault="00000000">
      <w:pPr>
        <w:numPr>
          <w:ilvl w:val="0"/>
          <w:numId w:val="2"/>
        </w:numPr>
        <w:ind w:right="0" w:hanging="635"/>
      </w:pPr>
      <w:r>
        <w:t xml:space="preserve">K možné </w:t>
      </w:r>
      <w:r>
        <w:rPr>
          <w:b/>
        </w:rPr>
        <w:t>neurčitosti a nesrozumitelnosti</w:t>
      </w:r>
      <w:r>
        <w:t xml:space="preserve"> napadených usnesení družstvo uvedlo, že je třeba napadená usnesení vnímat v celkovém kontextu s tím, že </w:t>
      </w:r>
      <w:r>
        <w:rPr>
          <w:i/>
        </w:rPr>
        <w:t>„problematika garáží rezonuje v družstvu nejméně od roku 2018“</w:t>
      </w:r>
      <w:r>
        <w:t xml:space="preserve">. Členská schůze byla navíc vázána programem avizovaným v pozvánce, přičemž nelze přehlížet, že svolavatelem členské schůze byl sám navrhovatel. Členové družstva, kteří byli přítomni na členské schůzi, zcela jednoznačně věděli, o čem hlasují (včetně toho, co se rozumí garáží či garážovým stáním). Napadená usnesení tak neurčitostí či nesrozumitelností netrpí. Mimoto je napadené usnesení č. 1 pouze projev vůle legitimizující družstvo (nikoli podklad pro katastr nemovitostí). Napadená usnesení je tak třeba vnímat materiálně, nikoli přepjatě formalisticky. </w:t>
      </w:r>
    </w:p>
    <w:p w14:paraId="181C9B1D" w14:textId="77777777" w:rsidR="00CA220E" w:rsidRDefault="00000000">
      <w:pPr>
        <w:spacing w:after="10" w:line="450" w:lineRule="auto"/>
        <w:ind w:left="4120" w:right="0" w:firstLine="998"/>
      </w:pPr>
      <w:r>
        <w:t xml:space="preserve">7                                                  62 Cm 18/2024 </w:t>
      </w:r>
      <w:r>
        <w:rPr>
          <w:b/>
        </w:rPr>
        <w:t>II.</w:t>
      </w:r>
      <w:r>
        <w:rPr>
          <w:rFonts w:ascii="Arial" w:eastAsia="Arial" w:hAnsi="Arial" w:cs="Arial"/>
          <w:b/>
        </w:rPr>
        <w:t xml:space="preserve"> </w:t>
      </w:r>
      <w:r>
        <w:rPr>
          <w:b/>
        </w:rPr>
        <w:t xml:space="preserve">Zjištěný stav věci </w:t>
      </w:r>
    </w:p>
    <w:p w14:paraId="1C775552" w14:textId="77777777" w:rsidR="00CA220E" w:rsidRDefault="00000000">
      <w:pPr>
        <w:spacing w:after="124"/>
        <w:ind w:left="632" w:right="0" w:hanging="10"/>
      </w:pPr>
      <w:r>
        <w:rPr>
          <w:i/>
        </w:rPr>
        <w:lastRenderedPageBreak/>
        <w:t>a)</w:t>
      </w:r>
      <w:r>
        <w:rPr>
          <w:rFonts w:ascii="Arial" w:eastAsia="Arial" w:hAnsi="Arial" w:cs="Arial"/>
          <w:i/>
        </w:rPr>
        <w:t xml:space="preserve"> </w:t>
      </w:r>
      <w:r>
        <w:rPr>
          <w:i/>
        </w:rPr>
        <w:t xml:space="preserve">Dokazování </w:t>
      </w:r>
    </w:p>
    <w:p w14:paraId="2910DD98" w14:textId="77777777" w:rsidR="00CA220E" w:rsidRDefault="00000000">
      <w:pPr>
        <w:numPr>
          <w:ilvl w:val="0"/>
          <w:numId w:val="2"/>
        </w:numPr>
        <w:ind w:right="0" w:hanging="635"/>
      </w:pPr>
      <w:r>
        <w:t xml:space="preserve">Z provedeného dokazování soud zjistil: </w:t>
      </w:r>
    </w:p>
    <w:p w14:paraId="0711C98B" w14:textId="77777777" w:rsidR="00CA220E" w:rsidRDefault="00000000">
      <w:pPr>
        <w:numPr>
          <w:ilvl w:val="1"/>
          <w:numId w:val="2"/>
        </w:numPr>
        <w:ind w:right="0" w:hanging="397"/>
      </w:pPr>
      <w:r>
        <w:t xml:space="preserve">Ze smlouvy č. 9255910251 o poskytnutí dotace z prostředků Státního fondu rozvoje bydlení na výstavbu nájemních bytů v obci (č. l. 137 </w:t>
      </w:r>
      <w:r>
        <w:rPr>
          <w:i/>
        </w:rPr>
        <w:t>verte</w:t>
      </w:r>
      <w:r>
        <w:t xml:space="preserve">) soud zjistil, že Státní fond rozvoje bydlení a statutární město Zlín uzavřely smlouvu č. 9255910251 o poskytnutí dotace z prostředků Státního fondu rozvoje bydlení na výstavbu nájemních bytů v obci, a to na pozemcích parcelních čísel 2735/16, 2735/11, 2735/12, 2714/10, 2735/1 a 2735/18 v katastrálním území Zlín. V článku III odst. 3 se statutární město Zlín (jako příjemce dotace) zavázalo, že </w:t>
      </w:r>
      <w:r>
        <w:rPr>
          <w:i/>
        </w:rPr>
        <w:t xml:space="preserve">„nepřevede po dobu 20 let od právní moci kolaudace stavby vlastnictví bytového domu postaveného s použitím dotace, popř. spoluvlastnický podíl na tomto domě, na jinou osobu a do uplynutí této doby zajistí užívání všech bytů v domě k trvalému nájemnímu bydlení.“ </w:t>
      </w:r>
    </w:p>
    <w:p w14:paraId="506D8B3F" w14:textId="77777777" w:rsidR="00CA220E" w:rsidRDefault="00000000">
      <w:pPr>
        <w:numPr>
          <w:ilvl w:val="1"/>
          <w:numId w:val="2"/>
        </w:numPr>
        <w:ind w:right="0" w:hanging="397"/>
      </w:pPr>
      <w:r>
        <w:t xml:space="preserve">Ze smlouvy o sdružení z 16. 8. 2002 (č. l. 100) soud zjistil, že statutární město Zlín a družstvo uzavřely 16. 8. 2002 smlouvu o sdružení (podle § 829 a násl. zákona č. 40/1964 Sb., občanského zákoníku, ve znění pozdějších předpisů). V článku III odst. 1 této smlouvy se smluvní strany zavázaly sdružit finanční prostředky na společnou výstavbu bytových domů o celkem 162 bytech. V článku VIII odst. 1 smlouvy o sdružení se družstvo zavázalo, že po dobu nejméně 20 let od nabytí právní moci kolaudačního rozhodnutí nepřevede svůj spoluvlastnický podíl na jinou osobu s výjimkou statutárního města Zlín a do uplynutí této doby </w:t>
      </w:r>
      <w:r>
        <w:rPr>
          <w:i/>
        </w:rPr>
        <w:t>„bude respektovat právo města uzavírat nájemní smlouvy a stanovovat výši nájemného k bytům postaveným na základě této smlouvy s přihlédnutím k obsazování bytů zvláštního určení v souladu s podmínkami čerpání dotace ze Státního fondu rozvoje bydlení.“</w:t>
      </w:r>
      <w:r>
        <w:t xml:space="preserve"> </w:t>
      </w:r>
    </w:p>
    <w:p w14:paraId="1583E11B" w14:textId="77777777" w:rsidR="00CA220E" w:rsidRDefault="00000000">
      <w:pPr>
        <w:numPr>
          <w:ilvl w:val="1"/>
          <w:numId w:val="2"/>
        </w:numPr>
        <w:ind w:right="0" w:hanging="397"/>
      </w:pPr>
      <w:r>
        <w:t xml:space="preserve">Z výkresu </w:t>
      </w:r>
      <w:r>
        <w:rPr>
          <w:i/>
        </w:rPr>
        <w:t>„pudorys_1PP_HSV+PSV“</w:t>
      </w:r>
      <w:r>
        <w:t xml:space="preserve"> (č. l. 138 </w:t>
      </w:r>
      <w:r>
        <w:rPr>
          <w:i/>
        </w:rPr>
        <w:t>verte</w:t>
      </w:r>
      <w:r>
        <w:t xml:space="preserve">) soud zjistil, že jde o výkres 1. podzemního patra bytového domu, který byl Magistrátem města Zlín </w:t>
      </w:r>
      <w:r>
        <w:rPr>
          <w:i/>
        </w:rPr>
        <w:t>„12. 9. 02“</w:t>
      </w:r>
      <w:r>
        <w:t xml:space="preserve"> schválen </w:t>
      </w:r>
      <w:r>
        <w:rPr>
          <w:i/>
        </w:rPr>
        <w:t>„za podmínek č.j.: 2830/02/</w:t>
      </w:r>
      <w:proofErr w:type="spellStart"/>
      <w:r>
        <w:rPr>
          <w:i/>
        </w:rPr>
        <w:t>Bl</w:t>
      </w:r>
      <w:proofErr w:type="spellEnd"/>
      <w:r>
        <w:rPr>
          <w:i/>
        </w:rPr>
        <w:t>“</w:t>
      </w:r>
      <w:r>
        <w:t xml:space="preserve"> a v němž jsou prostory číslo 0.10, 0.11 a 0.14 (podle legendy) označeny jako </w:t>
      </w:r>
      <w:r>
        <w:rPr>
          <w:i/>
        </w:rPr>
        <w:t>„garáž“</w:t>
      </w:r>
      <w:r>
        <w:t xml:space="preserve">, prostor číslo 0.08 jako </w:t>
      </w:r>
      <w:r>
        <w:rPr>
          <w:i/>
        </w:rPr>
        <w:t>„automobilové stání“</w:t>
      </w:r>
      <w:r>
        <w:t xml:space="preserve"> a prostory číslo 0.12 a 0.13 jako </w:t>
      </w:r>
      <w:r>
        <w:rPr>
          <w:i/>
        </w:rPr>
        <w:t>„2x automobilová stání“</w:t>
      </w:r>
      <w:r>
        <w:t xml:space="preserve">. </w:t>
      </w:r>
    </w:p>
    <w:p w14:paraId="7F5F8DE4" w14:textId="77777777" w:rsidR="00CA220E" w:rsidRDefault="00000000">
      <w:pPr>
        <w:numPr>
          <w:ilvl w:val="1"/>
          <w:numId w:val="2"/>
        </w:numPr>
        <w:spacing w:after="158"/>
        <w:ind w:right="0" w:hanging="397"/>
      </w:pPr>
      <w:r>
        <w:t xml:space="preserve">Z dokumentu </w:t>
      </w:r>
      <w:r>
        <w:rPr>
          <w:i/>
        </w:rPr>
        <w:t xml:space="preserve">„podklady k výběru nájemného za G, GS“ </w:t>
      </w:r>
      <w:r>
        <w:t>(č. l. 48) soud zjistil, že se v každém z bytových domů nachází 8 garáží či garážových stání o výměře 13,40 až 29,10 m</w:t>
      </w:r>
      <w:r>
        <w:rPr>
          <w:sz w:val="22"/>
          <w:vertAlign w:val="superscript"/>
        </w:rPr>
        <w:t>2</w:t>
      </w:r>
      <w:r>
        <w:t xml:space="preserve">. </w:t>
      </w:r>
    </w:p>
    <w:p w14:paraId="0FD34FCE" w14:textId="77777777" w:rsidR="00CA220E" w:rsidRDefault="00000000">
      <w:pPr>
        <w:numPr>
          <w:ilvl w:val="1"/>
          <w:numId w:val="2"/>
        </w:numPr>
        <w:ind w:right="0" w:hanging="397"/>
      </w:pPr>
      <w:r>
        <w:t xml:space="preserve">Z návrhu usnesení Rady statutárního města Zlín z 18. 8. 2003, č. 523/16R/2003 (č. l. 486), soud zjistil, že Radě statutárního města Zlín bylo předloženo ke schválení usnesení, kterým by na své 16. schůzi 18. 8. 2003 schválila a Zastupitelstvu statutárního města Zlín doporučila ke schválení </w:t>
      </w:r>
      <w:r>
        <w:rPr>
          <w:i/>
        </w:rPr>
        <w:t xml:space="preserve">„pronájem“ </w:t>
      </w:r>
      <w:r>
        <w:t xml:space="preserve">garáží v bytových domech na 20 let od kolaudace za 91 290 Kč, jakož i </w:t>
      </w:r>
      <w:r>
        <w:rPr>
          <w:i/>
        </w:rPr>
        <w:t>„pronájem“</w:t>
      </w:r>
      <w:r>
        <w:t xml:space="preserve"> garážových stání v bytových domech na 20 let od kolaudace za 60 690 Kč. </w:t>
      </w:r>
    </w:p>
    <w:p w14:paraId="38A93B92" w14:textId="77777777" w:rsidR="00CA220E" w:rsidRDefault="00000000">
      <w:pPr>
        <w:numPr>
          <w:ilvl w:val="1"/>
          <w:numId w:val="2"/>
        </w:numPr>
        <w:ind w:right="0" w:hanging="397"/>
      </w:pPr>
      <w:r>
        <w:t xml:space="preserve">Ze smlouvy o nájmu automobilového stání uzavřené mezi statutárním městem Zlín a družstvem (na jedné straně) a panem Miroslavem Václavkem (na druhé straně) (č. l. 135) soud zjistil, že statutární město Zlín a družstvo (na jedné straně) uzavřely s panem Miroslavem Václavkem (na druhé straně) smlouvu o nájmu automobilového stání s tím, že výše nájemného činila 119 000 Kč. V článku </w:t>
      </w:r>
      <w:r w:rsidRPr="006E1BB9">
        <w:rPr>
          <w:b/>
          <w:bCs/>
          <w:highlight w:val="cyan"/>
        </w:rPr>
        <w:t xml:space="preserve">V odst. 6 této smlouvy bylo sjednáno </w:t>
      </w:r>
      <w:r w:rsidRPr="006E1BB9">
        <w:rPr>
          <w:b/>
          <w:bCs/>
          <w:i/>
          <w:highlight w:val="cyan"/>
        </w:rPr>
        <w:t xml:space="preserve">„právo nájemců odkoupit od pronajímatelů jejich spoluvlastnický podíl na nebytové jednotce – prostoru s právem užívat příslušné automobilové stání označené v prohlášení </w:t>
      </w:r>
      <w:proofErr w:type="gramStart"/>
      <w:r w:rsidRPr="006E1BB9">
        <w:rPr>
          <w:b/>
          <w:bCs/>
          <w:i/>
          <w:highlight w:val="cyan"/>
        </w:rPr>
        <w:t>vlastníka</w:t>
      </w:r>
      <w:proofErr w:type="gramEnd"/>
      <w:r w:rsidRPr="006E1BB9">
        <w:rPr>
          <w:b/>
          <w:bCs/>
          <w:i/>
          <w:highlight w:val="cyan"/>
        </w:rPr>
        <w:t xml:space="preserve"> a to za cenu </w:t>
      </w:r>
      <w:proofErr w:type="gramStart"/>
      <w:r w:rsidRPr="006E1BB9">
        <w:rPr>
          <w:b/>
          <w:bCs/>
          <w:i/>
          <w:highlight w:val="cyan"/>
        </w:rPr>
        <w:t>1.000,-</w:t>
      </w:r>
      <w:proofErr w:type="gramEnd"/>
      <w:r w:rsidRPr="006E1BB9">
        <w:rPr>
          <w:b/>
          <w:bCs/>
          <w:i/>
          <w:highlight w:val="cyan"/>
        </w:rPr>
        <w:t>“</w:t>
      </w:r>
      <w:r w:rsidRPr="006E1BB9">
        <w:rPr>
          <w:b/>
          <w:bCs/>
          <w:highlight w:val="cyan"/>
        </w:rPr>
        <w:t>.</w:t>
      </w:r>
      <w:r>
        <w:t xml:space="preserve"> </w:t>
      </w:r>
    </w:p>
    <w:p w14:paraId="4F5F308C" w14:textId="77777777" w:rsidR="00CA220E" w:rsidRDefault="00000000">
      <w:pPr>
        <w:numPr>
          <w:ilvl w:val="1"/>
          <w:numId w:val="2"/>
        </w:numPr>
        <w:ind w:right="0" w:hanging="397"/>
      </w:pPr>
      <w:r>
        <w:t xml:space="preserve">Ze smlouvy o nájmu automobilového stání z 10. 11. 2003 (č. l. 385) soud zjistil, že statutární město Zlín a družstvo (na jedné straně) uzavřely s panem Davidem Štěrbou a paní Monikou Štěrbovou (na druhé straně) 10. 11. 2003 na dobu 20 let smlouvu o nájmu garáže G1 v bytovém domě parcelní číslo 5408 s tím, že výše nájemného činila 179 000 Kč. V článku V odst. 6 této smlouvy bylo sjednáno </w:t>
      </w:r>
      <w:r>
        <w:rPr>
          <w:i/>
        </w:rPr>
        <w:t xml:space="preserve">„právo nájemců odkoupit od pronajímatelů jejich </w:t>
      </w:r>
      <w:r>
        <w:rPr>
          <w:i/>
        </w:rPr>
        <w:lastRenderedPageBreak/>
        <w:t xml:space="preserve">spoluvlastnický podíl na nebytové jednotce – prostoru s právem užívat příslušnou garáž označenou v prohlášení </w:t>
      </w:r>
      <w:proofErr w:type="gramStart"/>
      <w:r>
        <w:rPr>
          <w:i/>
        </w:rPr>
        <w:t>vlastníka</w:t>
      </w:r>
      <w:proofErr w:type="gramEnd"/>
      <w:r>
        <w:rPr>
          <w:i/>
        </w:rPr>
        <w:t xml:space="preserve"> a to za cenu </w:t>
      </w:r>
      <w:proofErr w:type="gramStart"/>
      <w:r>
        <w:rPr>
          <w:i/>
        </w:rPr>
        <w:t>1.000,-</w:t>
      </w:r>
      <w:proofErr w:type="gramEnd"/>
      <w:r>
        <w:rPr>
          <w:i/>
        </w:rPr>
        <w:t xml:space="preserve"> Kč“</w:t>
      </w:r>
      <w:r>
        <w:t xml:space="preserve">. </w:t>
      </w:r>
    </w:p>
    <w:p w14:paraId="11D642E7" w14:textId="77777777" w:rsidR="00CA220E" w:rsidRDefault="00000000">
      <w:pPr>
        <w:numPr>
          <w:ilvl w:val="1"/>
          <w:numId w:val="2"/>
        </w:numPr>
        <w:ind w:right="0" w:hanging="397"/>
      </w:pPr>
      <w:r>
        <w:t xml:space="preserve">Ze smlouvy o nájmu automobilového stání ze 17. 12. 2003 (č. l. 387) soud zjistil, že statutární město Zlín a družstvo (na jedné straně) uzavřely s panem Petrem Konečným (na druhé straně) 17. 12. 2003 na dobu 20 let smlouvu o nájmu automobilového stání A1 v bytovém domě parcelní číslo 5411 s tím, že výše nájemného činila 119 000 Kč. V článku V odst. 6 této smlouvy bylo sjednáno </w:t>
      </w:r>
      <w:r>
        <w:rPr>
          <w:i/>
        </w:rPr>
        <w:t xml:space="preserve">„právo nájemců odkoupit od pronajímatelů jejich spoluvlastnický podíl na nebytové jednotce – prostoru s právem užívat příslušné automobilové stání označené v prohlášení </w:t>
      </w:r>
      <w:proofErr w:type="gramStart"/>
      <w:r>
        <w:rPr>
          <w:i/>
        </w:rPr>
        <w:t>vlastníka</w:t>
      </w:r>
      <w:proofErr w:type="gramEnd"/>
      <w:r>
        <w:rPr>
          <w:i/>
        </w:rPr>
        <w:t xml:space="preserve"> a to za cenu </w:t>
      </w:r>
      <w:proofErr w:type="gramStart"/>
      <w:r>
        <w:rPr>
          <w:i/>
        </w:rPr>
        <w:t>1.000,-</w:t>
      </w:r>
      <w:proofErr w:type="gramEnd"/>
      <w:r>
        <w:rPr>
          <w:i/>
        </w:rPr>
        <w:t xml:space="preserve"> Kč“</w:t>
      </w:r>
      <w:r>
        <w:t xml:space="preserve">. </w:t>
      </w:r>
    </w:p>
    <w:p w14:paraId="63D15BCD" w14:textId="77777777" w:rsidR="00CA220E" w:rsidRDefault="00000000">
      <w:pPr>
        <w:numPr>
          <w:ilvl w:val="1"/>
          <w:numId w:val="2"/>
        </w:numPr>
        <w:ind w:right="0" w:hanging="397"/>
      </w:pPr>
      <w:r>
        <w:t xml:space="preserve">Ze smlouvy o nájmu automobilového stání z 26. 5. 2010 (č. l. 390) soud zjistil, že statutární město Zlín a družstvo (na jedné straně) uzavřely s panem Ing. Jiřím Skopalíkem (na druhé straně) 26. 5. 2010 na dobu 13 let a 5 měsíců smlouvu o nájmu automobilového stání A2 v bytovém domě parcelní číslo 5407 s tím, že výše nájemného činila 79 829 Kč. V článku V odst. 6 této smlouvy bylo sjednáno </w:t>
      </w:r>
      <w:r w:rsidRPr="004012EA">
        <w:rPr>
          <w:i/>
          <w:highlight w:val="cyan"/>
        </w:rPr>
        <w:t xml:space="preserve">„právo nájemců odkoupit od pronajímatelů jejich spoluvlastnický podíl na nebytové jednotce – prostoru s právem užívat příslušné automobilové stání označené v prohlášení vlastníka, a to za cenu </w:t>
      </w:r>
      <w:proofErr w:type="gramStart"/>
      <w:r w:rsidRPr="004012EA">
        <w:rPr>
          <w:i/>
          <w:highlight w:val="cyan"/>
        </w:rPr>
        <w:t>1.000,-</w:t>
      </w:r>
      <w:proofErr w:type="gramEnd"/>
      <w:r w:rsidRPr="004012EA">
        <w:rPr>
          <w:i/>
          <w:highlight w:val="cyan"/>
        </w:rPr>
        <w:t xml:space="preserve"> Kč“</w:t>
      </w:r>
      <w:r w:rsidRPr="004012EA">
        <w:rPr>
          <w:highlight w:val="cyan"/>
        </w:rPr>
        <w:t>.</w:t>
      </w:r>
      <w:r>
        <w:t xml:space="preserve"> </w:t>
      </w:r>
    </w:p>
    <w:p w14:paraId="71BBB70A" w14:textId="77777777" w:rsidR="00CA220E" w:rsidRDefault="00000000">
      <w:pPr>
        <w:numPr>
          <w:ilvl w:val="1"/>
          <w:numId w:val="2"/>
        </w:numPr>
        <w:ind w:right="0" w:hanging="397"/>
      </w:pPr>
      <w:r>
        <w:t xml:space="preserve">Z výzvy k úhradě zálohy na nájem za garáž z 30. 6. 2003 (č. l. 136) soud zjistil, že družstvo vyzvalo 30. 6. 2003 pana Jaromíra Poslušného a paní Miladu Poslušnou, aby složili zálohu ve výši 179 000 Kč na nájem garáže G3, nacházející se v bytovém domě číslo popisné 5411. </w:t>
      </w:r>
    </w:p>
    <w:p w14:paraId="4969E63B" w14:textId="77777777" w:rsidR="00CA220E" w:rsidRDefault="00000000">
      <w:pPr>
        <w:numPr>
          <w:ilvl w:val="1"/>
          <w:numId w:val="2"/>
        </w:numPr>
        <w:ind w:right="0" w:hanging="397"/>
      </w:pPr>
      <w:r>
        <w:t xml:space="preserve">Z výzvy k úhradě zálohy na nájem za garáž z 1. 8. 2003 (č. l. 136 </w:t>
      </w:r>
      <w:r>
        <w:rPr>
          <w:i/>
        </w:rPr>
        <w:t>verte</w:t>
      </w:r>
      <w:r>
        <w:t xml:space="preserve">) soud zjistil, že družstvo 1. 8. 2003 vyzvalo pana Martina </w:t>
      </w:r>
      <w:proofErr w:type="spellStart"/>
      <w:r>
        <w:t>Matějčného</w:t>
      </w:r>
      <w:proofErr w:type="spellEnd"/>
      <w:r>
        <w:t xml:space="preserve">, aby složil zálohu ve výši 119 000 Kč na nájem automobilového stání A1, nacházejícího se v bytovém domě číslo popisné 5409. </w:t>
      </w:r>
    </w:p>
    <w:p w14:paraId="7EB238FA" w14:textId="77777777" w:rsidR="00CA220E" w:rsidRDefault="00000000">
      <w:pPr>
        <w:numPr>
          <w:ilvl w:val="1"/>
          <w:numId w:val="2"/>
        </w:numPr>
        <w:ind w:right="0" w:hanging="397"/>
      </w:pPr>
      <w:r>
        <w:t xml:space="preserve">Z výzvy k úhradě zálohy na nájem za garáž ze 4. 9. 2003 (č. l. 137) soud zjistil, že družstvo 4. 9. 2003 vyzvalo paní Lucii Formanovou, aby složila zálohu ve výši 119 000 Kč na nájem automobilového stání A1, nacházejícího se v bytovém domě číslo popisné 5407. </w:t>
      </w:r>
    </w:p>
    <w:p w14:paraId="1640BCF8" w14:textId="77777777" w:rsidR="00CA220E" w:rsidRDefault="00000000">
      <w:pPr>
        <w:numPr>
          <w:ilvl w:val="1"/>
          <w:numId w:val="2"/>
        </w:numPr>
        <w:ind w:right="0" w:hanging="397"/>
      </w:pPr>
      <w:r>
        <w:t xml:space="preserve">Z výzvy k úhradě zálohy na nájem garáže ze 4. 9. 2003 (č. l. 371) soud zjistil, že družstvo 4. 9. 2003 vyzvalo pana Jiřího Skopalíka, aby uhradil zálohu ve výši 179 000 Kč na nájem garáže G2, nacházející se v bytovém domě číslo popisné 5407. </w:t>
      </w:r>
    </w:p>
    <w:p w14:paraId="4C9E2A2B" w14:textId="77777777" w:rsidR="00CA220E" w:rsidRDefault="00000000">
      <w:pPr>
        <w:numPr>
          <w:ilvl w:val="1"/>
          <w:numId w:val="2"/>
        </w:numPr>
        <w:ind w:right="0" w:hanging="397"/>
      </w:pPr>
      <w:r>
        <w:t xml:space="preserve">Ze zápisu z členské schůze z 29. 3. 2007 (č. l. 501) soud zjistil, že členská schůze pod bodem 5 programu projednávala způsoby majetkového vypořádání mezi družstvem a statutárním městem Zlín. </w:t>
      </w:r>
    </w:p>
    <w:p w14:paraId="6AC496AD" w14:textId="77777777" w:rsidR="00CA220E" w:rsidRDefault="00000000">
      <w:pPr>
        <w:numPr>
          <w:ilvl w:val="1"/>
          <w:numId w:val="2"/>
        </w:numPr>
        <w:ind w:right="0" w:hanging="397"/>
      </w:pPr>
      <w:r>
        <w:t xml:space="preserve">Ze zápisu z členské schůze z 16. 7. 2018 (č. l. 503) soud zjistil, že členská schůze pod bodem 5 projednávala </w:t>
      </w:r>
      <w:r>
        <w:rPr>
          <w:i/>
        </w:rPr>
        <w:t xml:space="preserve">„návrh řešení situace s“ </w:t>
      </w:r>
      <w:r>
        <w:t xml:space="preserve">garážemi a garážovými stáními. </w:t>
      </w:r>
    </w:p>
    <w:p w14:paraId="12D549A3" w14:textId="77777777" w:rsidR="00CA220E" w:rsidRDefault="00000000">
      <w:pPr>
        <w:numPr>
          <w:ilvl w:val="1"/>
          <w:numId w:val="2"/>
        </w:numPr>
        <w:ind w:right="0" w:hanging="397"/>
      </w:pPr>
      <w:r>
        <w:t xml:space="preserve">Z právního rozboru Mgr. Markéty </w:t>
      </w:r>
      <w:proofErr w:type="spellStart"/>
      <w:r>
        <w:t>Vojtáškové</w:t>
      </w:r>
      <w:proofErr w:type="spellEnd"/>
      <w:r>
        <w:t xml:space="preserve"> (č. l. 335) soud zjistil, že si družstvo v první polovině roku 2018 nechalo zpracovat právní stanovisko k otázce práva garážníků na převod garáží a garážových stání do jejich (výlučného) vlastnictví. </w:t>
      </w:r>
    </w:p>
    <w:p w14:paraId="1B769D27" w14:textId="77777777" w:rsidR="00CA220E" w:rsidRDefault="00000000">
      <w:pPr>
        <w:numPr>
          <w:ilvl w:val="1"/>
          <w:numId w:val="2"/>
        </w:numPr>
        <w:ind w:right="0" w:hanging="397"/>
      </w:pPr>
      <w:r>
        <w:t xml:space="preserve">Z aktualizovaného právního rozboru Mgr. Markéty </w:t>
      </w:r>
      <w:proofErr w:type="spellStart"/>
      <w:r>
        <w:t>Vojtáškové</w:t>
      </w:r>
      <w:proofErr w:type="spellEnd"/>
      <w:r>
        <w:t xml:space="preserve"> (č. l. 328) soud zjistil, že si družstvo v polovině roku 2023 nechalo zpracovat aktualizované právní stanovisko k otázce práva garážníků na převod garáží a garážových stání do jejich (výlučného) vlastnictví a že původní právní rozbor Mgr. Markéta </w:t>
      </w:r>
      <w:proofErr w:type="spellStart"/>
      <w:r>
        <w:t>Vojtášková</w:t>
      </w:r>
      <w:proofErr w:type="spellEnd"/>
      <w:r>
        <w:t xml:space="preserve"> vypracovala a družstvu předala 26. 4. 2021. </w:t>
      </w:r>
    </w:p>
    <w:p w14:paraId="307797B8" w14:textId="77777777" w:rsidR="00CA220E" w:rsidRDefault="00000000">
      <w:pPr>
        <w:spacing w:after="218" w:line="265" w:lineRule="auto"/>
        <w:ind w:left="10" w:right="-14" w:hanging="10"/>
        <w:jc w:val="right"/>
      </w:pPr>
      <w:r>
        <w:t xml:space="preserve">9                                                  62 Cm 18/2024 </w:t>
      </w:r>
    </w:p>
    <w:p w14:paraId="77042A4F" w14:textId="77777777" w:rsidR="00CA220E" w:rsidRDefault="00000000">
      <w:pPr>
        <w:numPr>
          <w:ilvl w:val="0"/>
          <w:numId w:val="7"/>
        </w:numPr>
        <w:ind w:right="0" w:hanging="397"/>
      </w:pPr>
      <w:r>
        <w:t xml:space="preserve">Z otevřeného dopisu části garážníků z 5. 10. 2023 (č. l. 484) soud zjistil, že se v roce 2023 dopisem adresovaným představenstvu družstva část garážníků domáhala převodu garáží a garážových stání do jejich (výlučného) vlastnictví. </w:t>
      </w:r>
    </w:p>
    <w:p w14:paraId="75D808F0" w14:textId="77777777" w:rsidR="00CA220E" w:rsidRDefault="00000000">
      <w:pPr>
        <w:numPr>
          <w:ilvl w:val="0"/>
          <w:numId w:val="7"/>
        </w:numPr>
        <w:ind w:right="0" w:hanging="397"/>
      </w:pPr>
      <w:r>
        <w:lastRenderedPageBreak/>
        <w:t xml:space="preserve">Z žádosti navrhovatele o odkup garáže G3 v bytovém domě číslo popisné 5407 (č. l. 354) soud zjistil, že navrhovatel 30. 10. 2023 požádal o </w:t>
      </w:r>
      <w:r>
        <w:rPr>
          <w:i/>
        </w:rPr>
        <w:t xml:space="preserve">„odkup všech spoluvlastnických podílů“ </w:t>
      </w:r>
      <w:r>
        <w:t xml:space="preserve">garáže G3 v bytovém domě číslo popisné 5407 za 1 000 Kč. </w:t>
      </w:r>
    </w:p>
    <w:p w14:paraId="7BDBE348" w14:textId="77777777" w:rsidR="00CA220E" w:rsidRDefault="00000000">
      <w:pPr>
        <w:numPr>
          <w:ilvl w:val="0"/>
          <w:numId w:val="7"/>
        </w:numPr>
        <w:ind w:right="0" w:hanging="397"/>
      </w:pPr>
      <w:r>
        <w:t xml:space="preserve">Z přehledu termínů ukončení nájemních vztahů (č. l. 528) soud zjistil, že se v každém z bytových domů nachází 3 garáže a 5 garážových stání, přičemž 41 z celkového počtu 48 garážníků podalo </w:t>
      </w:r>
      <w:r>
        <w:rPr>
          <w:i/>
        </w:rPr>
        <w:t>„žádost o odkup“</w:t>
      </w:r>
      <w:r>
        <w:t xml:space="preserve">. </w:t>
      </w:r>
    </w:p>
    <w:p w14:paraId="3DAB4A5A" w14:textId="77777777" w:rsidR="00CA220E" w:rsidRDefault="00000000">
      <w:pPr>
        <w:numPr>
          <w:ilvl w:val="0"/>
          <w:numId w:val="7"/>
        </w:numPr>
        <w:ind w:right="0" w:hanging="397"/>
      </w:pPr>
      <w:r>
        <w:t xml:space="preserve">Z materiálu Zastupitelstva města Zlín č. 001709 (č. l. 269–327) soud zjistil, že Zastupitelstvo města Zlín na svém 18. jednání 2. 11. 2023 pověřilo člena Rady statutárního města Zlín, pana Jiřího Roubenka, MBA, </w:t>
      </w:r>
      <w:r>
        <w:rPr>
          <w:i/>
        </w:rPr>
        <w:t>„uzavřením a podpisem předmětných prohlášení spoluvlastníků bytových domů, a dále úpravou předmětných prohlášení spoluvlastníků bytových domů dle přílohy č. 1 - č. 6“</w:t>
      </w:r>
      <w:r>
        <w:t xml:space="preserve">. Jako přílohy č. 1 až 6 byly přiloženy návrhy prohlášení vlastníka bytových domů. Garáže a garážová stání jsou navrhovány jako společné části bytových domů, jež jsou vyhrazeny k výlučnému užívání konkrétním vlastníkům (jednotlivých) bytových jednotek. </w:t>
      </w:r>
    </w:p>
    <w:p w14:paraId="6F5028A6" w14:textId="77777777" w:rsidR="00CA220E" w:rsidRDefault="00000000">
      <w:pPr>
        <w:numPr>
          <w:ilvl w:val="0"/>
          <w:numId w:val="7"/>
        </w:numPr>
        <w:spacing w:after="138" w:line="238" w:lineRule="auto"/>
        <w:ind w:right="0" w:hanging="397"/>
      </w:pPr>
      <w:r>
        <w:t xml:space="preserve">Z odborného stanoviska Mgr. Jiřího Dostála z 23. 2. 2024 (č. l. 240) soud zjistil, že si statutární město Zlín počátkem roku 2024 nechalo zpracovat právní stanovisko k otázce práva garážníků na převod garáží a garážových stání do jejich (výlučného) vlastnictví. </w:t>
      </w:r>
    </w:p>
    <w:p w14:paraId="71344CDB" w14:textId="77777777" w:rsidR="00CA220E" w:rsidRDefault="00000000">
      <w:pPr>
        <w:numPr>
          <w:ilvl w:val="0"/>
          <w:numId w:val="7"/>
        </w:numPr>
        <w:ind w:right="0" w:hanging="397"/>
      </w:pPr>
      <w:r>
        <w:t xml:space="preserve">Z odborného stanoviska Mgr. Jiřího Dostála z 21. 11. 2024 (č. l. 392) soud zjistil, že si statutární město Zlín koncem roku 2024 nechalo zpracovat právní stanovisko k otázce posouzení souladu požadavku družstva na rozdělení 1. podzemního podlaží bytových domů na bytové jednotky. </w:t>
      </w:r>
    </w:p>
    <w:p w14:paraId="7E7564C4" w14:textId="77777777" w:rsidR="00CA220E" w:rsidRDefault="00000000">
      <w:pPr>
        <w:numPr>
          <w:ilvl w:val="0"/>
          <w:numId w:val="7"/>
        </w:numPr>
        <w:ind w:right="0" w:hanging="397"/>
      </w:pPr>
      <w:r>
        <w:t xml:space="preserve">Ze zápisu z členské schůze z 26. 11. 2024 (č. l. 467) soud zjistil, že členská schůze 26. 11. 2024 pod bodem 7 programu projednávala informace o společném postupu se statutárním městem Zlín ve věci odkupu bytů do </w:t>
      </w:r>
      <w:r>
        <w:rPr>
          <w:i/>
        </w:rPr>
        <w:t>„osobního“</w:t>
      </w:r>
      <w:r>
        <w:t xml:space="preserve"> vlastnictví. </w:t>
      </w:r>
    </w:p>
    <w:p w14:paraId="78A7B31A" w14:textId="77777777" w:rsidR="00CA220E" w:rsidRDefault="00000000">
      <w:pPr>
        <w:numPr>
          <w:ilvl w:val="0"/>
          <w:numId w:val="7"/>
        </w:numPr>
        <w:ind w:right="0" w:hanging="397"/>
      </w:pPr>
      <w:r>
        <w:t xml:space="preserve">Z pozvánky na členskou schůzi, která se konala 1. 2. 2024 (č. l. 202) soud zjistil, že navrhovatel svolal (jako předseda družstva) na 1. 2. 2024 členskou schůzi. Jako bod 3 programu členské schůze bylo avizováno </w:t>
      </w:r>
      <w:r>
        <w:rPr>
          <w:i/>
        </w:rPr>
        <w:t xml:space="preserve">„schválení převodu G, GS do osobního vlastnictví“ </w:t>
      </w:r>
      <w:r>
        <w:t xml:space="preserve">a jako bod 4 programu členské schůze bylo avizováno </w:t>
      </w:r>
      <w:r>
        <w:rPr>
          <w:i/>
        </w:rPr>
        <w:t>„stanovení ceny příspěvku na provoz a správu G a GS“</w:t>
      </w:r>
      <w:r>
        <w:t xml:space="preserve">. </w:t>
      </w:r>
    </w:p>
    <w:p w14:paraId="548EEF0B" w14:textId="77777777" w:rsidR="00CA220E" w:rsidRDefault="00000000">
      <w:pPr>
        <w:numPr>
          <w:ilvl w:val="0"/>
          <w:numId w:val="7"/>
        </w:numPr>
        <w:ind w:right="0" w:hanging="397"/>
      </w:pPr>
      <w:r>
        <w:t xml:space="preserve">Ze zápisu z členské schůze z 1. 2. 2024 (č. l. 15) soud zjistil, že členská schůze se konala od 18:15 v garáži bytového domu číslo popisné 5407 a že se členské schůze účastnilo 138 členů družstva, mezi nimiž byl i navrhovatel. K bodu 3 programu proběhla relativně rozsáhlá diskuse, v jejímž rámci navrhovatel (mimo jiné) uvedl, že </w:t>
      </w:r>
      <w:r>
        <w:rPr>
          <w:i/>
        </w:rPr>
        <w:t>„tento bod programu byl dlouho diskutován“</w:t>
      </w:r>
      <w:r>
        <w:t xml:space="preserve">. Pan Jan </w:t>
      </w:r>
      <w:proofErr w:type="spellStart"/>
      <w:r>
        <w:t>Surovič</w:t>
      </w:r>
      <w:proofErr w:type="spellEnd"/>
      <w:r>
        <w:t xml:space="preserve"> uplatnil </w:t>
      </w:r>
      <w:r>
        <w:rPr>
          <w:i/>
        </w:rPr>
        <w:t>„pozměňovací návrh“</w:t>
      </w:r>
      <w:r>
        <w:t xml:space="preserve"> (protinávrh) k usnesení navrženému k přijetí pod bodem 3 programu členské schůze. </w:t>
      </w:r>
    </w:p>
    <w:p w14:paraId="0A7569EB" w14:textId="77777777" w:rsidR="00CA220E" w:rsidRDefault="00000000">
      <w:pPr>
        <w:spacing w:after="124"/>
        <w:ind w:left="1398" w:right="0" w:hanging="10"/>
      </w:pPr>
      <w:r>
        <w:t xml:space="preserve">Členská schůze pod bodem 3 programu členské schůze přijala 82 hlasy, jako usnesení č. 24020102-01, protinávrh pana Jana </w:t>
      </w:r>
      <w:proofErr w:type="spellStart"/>
      <w:r>
        <w:t>Suroviče</w:t>
      </w:r>
      <w:proofErr w:type="spellEnd"/>
      <w:r>
        <w:t xml:space="preserve"> ve znění: </w:t>
      </w:r>
      <w:r>
        <w:rPr>
          <w:i/>
        </w:rPr>
        <w:t>„Členská schůze schvaluje převod garáží/garážového stání do vlastnictví členů družstva, kteří mají nájemní smlouvy ke garážím/garážovému stání, a to za sjednanou cenu celkem ve výši 1000 Kč. Členská schůze ukládá představenstvu zajistit vypracování prohlášení vlastníků, které umožní realizaci převodu a realizaci všech dalších úkonů nutných k uzavření převodních smluv včetně jejich samostatného uzavření. To vše nejpozději do šesti měsíců od tohoto usnesení.“</w:t>
      </w:r>
      <w:r>
        <w:t xml:space="preserve"> </w:t>
      </w:r>
    </w:p>
    <w:p w14:paraId="556D0595" w14:textId="77777777" w:rsidR="00CA220E" w:rsidRDefault="00000000">
      <w:pPr>
        <w:spacing w:after="124"/>
        <w:ind w:left="1398" w:right="0" w:hanging="10"/>
      </w:pPr>
      <w:r>
        <w:t xml:space="preserve">O původním návrhu usnesení – ve znění: </w:t>
      </w:r>
      <w:r>
        <w:rPr>
          <w:i/>
        </w:rPr>
        <w:t>„Na základě výsledku hlasování členské schůze se neschvaluje, schvaluje převod garáží, garážového stání, do osobního vlastnictví členům družstva, kteří mají neschválenou nájemní smlouvu ke garážím, garážovému stání za cenu 803 korun 30 haléřů pro bytové družstvo a současně v případě schválení ukládá členská schůze představenstvu družstva úkol zajistit vypracování prohlášení vlastníků, které umožní takový převod.“</w:t>
      </w:r>
      <w:r>
        <w:t xml:space="preserve"> – členská schůze nehlasovala. </w:t>
      </w:r>
    </w:p>
    <w:p w14:paraId="527BFB39" w14:textId="77777777" w:rsidR="00CA220E" w:rsidRDefault="00000000">
      <w:pPr>
        <w:ind w:left="1388" w:right="0" w:firstLine="0"/>
      </w:pPr>
      <w:r>
        <w:lastRenderedPageBreak/>
        <w:t xml:space="preserve">Pan Jan </w:t>
      </w:r>
      <w:proofErr w:type="spellStart"/>
      <w:r>
        <w:t>Surovič</w:t>
      </w:r>
      <w:proofErr w:type="spellEnd"/>
      <w:r>
        <w:t xml:space="preserve"> uplatnil dále i </w:t>
      </w:r>
      <w:r>
        <w:rPr>
          <w:i/>
        </w:rPr>
        <w:t>„pozměňovací návrh“</w:t>
      </w:r>
      <w:r>
        <w:t xml:space="preserve"> (protinávrh) k usnesení navrženému k přijetí pod bodem 4 programu členské schůze. </w:t>
      </w:r>
    </w:p>
    <w:p w14:paraId="7961883B" w14:textId="77777777" w:rsidR="00CA220E" w:rsidRDefault="00000000">
      <w:pPr>
        <w:ind w:left="1388" w:right="0" w:firstLine="0"/>
      </w:pPr>
      <w:r>
        <w:t xml:space="preserve">Členská schůze pod bodem 4 programu členské schůze přijala 75 hlasy, jako usnesení č. 24020103-01, protinávrh pana Jana </w:t>
      </w:r>
      <w:proofErr w:type="spellStart"/>
      <w:r>
        <w:t>Suroviče</w:t>
      </w:r>
      <w:proofErr w:type="spellEnd"/>
      <w:r>
        <w:t xml:space="preserve"> ve znění: </w:t>
      </w:r>
      <w:r>
        <w:rPr>
          <w:i/>
        </w:rPr>
        <w:t>„Členská schůze schvaluje příspěvek na náklady na provoz a správu ve výši 4,-Kč/m2 za zaměřené plochy garáže a garážového stání.“</w:t>
      </w:r>
      <w:r>
        <w:t xml:space="preserve"> </w:t>
      </w:r>
    </w:p>
    <w:p w14:paraId="2DB42710" w14:textId="77777777" w:rsidR="00CA220E" w:rsidRDefault="00000000">
      <w:pPr>
        <w:spacing w:after="124"/>
        <w:ind w:left="1398" w:right="0" w:hanging="10"/>
      </w:pPr>
      <w:r>
        <w:t xml:space="preserve">O původním návrhu usnesení – ve znění: </w:t>
      </w:r>
      <w:r>
        <w:rPr>
          <w:i/>
        </w:rPr>
        <w:t>„Na základě výsledku hlasování členské schůze se schvaluje příspěvek na náklady a na provoz a správu ve výši 12 korun za metr plochy a měsíc.“</w:t>
      </w:r>
      <w:r>
        <w:t xml:space="preserve"> – členská schůze nehlasovala. </w:t>
      </w:r>
    </w:p>
    <w:p w14:paraId="734B4C61" w14:textId="77777777" w:rsidR="00CA220E" w:rsidRDefault="00000000">
      <w:pPr>
        <w:numPr>
          <w:ilvl w:val="0"/>
          <w:numId w:val="7"/>
        </w:numPr>
        <w:ind w:right="0" w:hanging="397"/>
      </w:pPr>
      <w:r>
        <w:t xml:space="preserve">Z listiny přítomných na členské schůzi 1. 2. 2024 (č. l. 530) soud zjistil, že někteří členové družstva byli na členské schůzi přítomni (a vykonali svá hlasovací práva) prostřednictvím svých zástupců a že se členské schůze jako člen družstva účastnil i navrhovatel.  </w:t>
      </w:r>
    </w:p>
    <w:p w14:paraId="2ABE0E97" w14:textId="77777777" w:rsidR="00CA220E" w:rsidRDefault="00000000">
      <w:pPr>
        <w:numPr>
          <w:ilvl w:val="0"/>
          <w:numId w:val="7"/>
        </w:numPr>
        <w:ind w:right="0" w:hanging="397"/>
      </w:pPr>
      <w:r>
        <w:t>Z prohlášení paní Věry Svítkové ze 7. 12. 2024 (č. l. 761) soud zjistil, že paní Věru Svítkovou navštívili nezávisle na sobě</w:t>
      </w:r>
      <w:r>
        <w:rPr>
          <w:i/>
        </w:rPr>
        <w:t xml:space="preserve"> „asi týden před konáním členské schůze dne 1. 2. 2024“</w:t>
      </w:r>
      <w:r>
        <w:t xml:space="preserve"> sousedé z bytového domu číslo popisné 5411, pan Konečný a pan Zavadil. Paní Svítkové se ptali, jestli se členské schůzi zúčastní, případně ji žádali, aby jim udělila plnou moc s tím, že se snažili vysvětlit, proč by měla hlasovat pro převod garáží a garážových stání do vlastnictví garážníků. Tvrdili, že za garáže a garážová stání již zaplatili, resp. že uhradili nájemné na 20 let dopředu. Naznačovali, že jsou garážníci se zbylými členy družstva </w:t>
      </w:r>
      <w:r>
        <w:rPr>
          <w:i/>
        </w:rPr>
        <w:t>„na jedné lodi“</w:t>
      </w:r>
      <w:r>
        <w:t xml:space="preserve">, neboť by podle nich měly být byty v bytových domech převedeny do vlastnictví členů družstva, jak </w:t>
      </w:r>
      <w:r>
        <w:rPr>
          <w:i/>
        </w:rPr>
        <w:t xml:space="preserve">„bylo před </w:t>
      </w:r>
      <w:proofErr w:type="gramStart"/>
      <w:r>
        <w:rPr>
          <w:i/>
        </w:rPr>
        <w:t>20ti</w:t>
      </w:r>
      <w:proofErr w:type="gramEnd"/>
      <w:r>
        <w:rPr>
          <w:i/>
        </w:rPr>
        <w:t xml:space="preserve"> lety přislíbeno městem.“</w:t>
      </w:r>
      <w:r>
        <w:t xml:space="preserve"> </w:t>
      </w:r>
    </w:p>
    <w:p w14:paraId="58427951" w14:textId="77777777" w:rsidR="00CA220E" w:rsidRDefault="00000000">
      <w:pPr>
        <w:numPr>
          <w:ilvl w:val="0"/>
          <w:numId w:val="7"/>
        </w:numPr>
        <w:spacing w:after="10"/>
        <w:ind w:right="0" w:hanging="397"/>
      </w:pPr>
      <w:r>
        <w:t xml:space="preserve">Z e-mailové komunikace mezi panem Ivo </w:t>
      </w:r>
      <w:proofErr w:type="spellStart"/>
      <w:r>
        <w:t>Kavánkem</w:t>
      </w:r>
      <w:proofErr w:type="spellEnd"/>
      <w:r>
        <w:t xml:space="preserve"> a panem Janem </w:t>
      </w:r>
      <w:proofErr w:type="spellStart"/>
      <w:r>
        <w:t>Rolencem</w:t>
      </w:r>
      <w:proofErr w:type="spellEnd"/>
      <w:r>
        <w:t xml:space="preserve"> </w:t>
      </w:r>
    </w:p>
    <w:p w14:paraId="0934F6B0" w14:textId="77777777" w:rsidR="00CA220E" w:rsidRPr="006E1BB9" w:rsidRDefault="00000000">
      <w:pPr>
        <w:ind w:left="1388" w:right="0" w:firstLine="0"/>
        <w:rPr>
          <w:b/>
          <w:bCs/>
          <w:color w:val="EE0000"/>
        </w:rPr>
      </w:pPr>
      <w:r>
        <w:t xml:space="preserve">(č. l. 487–488) soud zjistil, že pan Ivo </w:t>
      </w:r>
      <w:proofErr w:type="spellStart"/>
      <w:r>
        <w:t>Kavánek</w:t>
      </w:r>
      <w:proofErr w:type="spellEnd"/>
      <w:r>
        <w:t xml:space="preserve"> 24. 1. 2024 požádal prostřednictvím e-mailu pana Jana </w:t>
      </w:r>
      <w:proofErr w:type="spellStart"/>
      <w:r>
        <w:t>Rolence</w:t>
      </w:r>
      <w:proofErr w:type="spellEnd"/>
      <w:r>
        <w:t xml:space="preserve"> o udělení plné moci pro hlasování na členské schůzi. V průvodním e-mailu pan Ivo </w:t>
      </w:r>
      <w:proofErr w:type="spellStart"/>
      <w:r>
        <w:t>Kavánek</w:t>
      </w:r>
      <w:proofErr w:type="spellEnd"/>
      <w:r>
        <w:t xml:space="preserve"> mimo jiné uvedl: </w:t>
      </w:r>
      <w:r>
        <w:rPr>
          <w:i/>
        </w:rPr>
        <w:t xml:space="preserve">„Zatím se jedná o vypořádání garáží a garážových stání, více v příloze. Pokud dopadnou špatně garáže a garážová stání (tržní cena a podobně), </w:t>
      </w:r>
      <w:r w:rsidRPr="006E1BB9">
        <w:rPr>
          <w:b/>
          <w:bCs/>
          <w:i/>
          <w:color w:val="EE0000"/>
        </w:rPr>
        <w:t>tak obdobně mohou dopadnout také převody bytů.“</w:t>
      </w:r>
      <w:r w:rsidRPr="006E1BB9">
        <w:rPr>
          <w:b/>
          <w:bCs/>
          <w:color w:val="EE0000"/>
        </w:rPr>
        <w:t xml:space="preserve"> </w:t>
      </w:r>
    </w:p>
    <w:p w14:paraId="4FE884BE" w14:textId="77777777" w:rsidR="00CA220E" w:rsidRDefault="00000000">
      <w:pPr>
        <w:numPr>
          <w:ilvl w:val="0"/>
          <w:numId w:val="7"/>
        </w:numPr>
        <w:spacing w:after="124"/>
        <w:ind w:right="0" w:hanging="397"/>
      </w:pPr>
      <w:r>
        <w:t xml:space="preserve">Z e-mailové komunikace mezi pánem </w:t>
      </w:r>
      <w:proofErr w:type="spellStart"/>
      <w:r>
        <w:t>Kavánkem</w:t>
      </w:r>
      <w:proofErr w:type="spellEnd"/>
      <w:r>
        <w:t xml:space="preserve">, panem Konečným, panem Zavadilem, panem Skopalíkem a navrhovatelem (č. l. 489–491) soud zjistil, že pan Ivo </w:t>
      </w:r>
      <w:proofErr w:type="spellStart"/>
      <w:r>
        <w:t>Kavánek</w:t>
      </w:r>
      <w:proofErr w:type="spellEnd"/>
      <w:r>
        <w:t xml:space="preserve"> v rámci této korespondence navrhl před členskou schůzí vysvětlit, že převod garáží a garážových stání je nutný pro naplnění nájemních smluv a dodal: </w:t>
      </w:r>
      <w:r>
        <w:rPr>
          <w:i/>
        </w:rPr>
        <w:t xml:space="preserve">„K tomu bude </w:t>
      </w:r>
      <w:proofErr w:type="spellStart"/>
      <w:r>
        <w:rPr>
          <w:i/>
        </w:rPr>
        <w:t>nutne</w:t>
      </w:r>
      <w:proofErr w:type="spellEnd"/>
      <w:r>
        <w:rPr>
          <w:i/>
        </w:rPr>
        <w:t xml:space="preserve"> podotknout, ze jestli </w:t>
      </w:r>
      <w:proofErr w:type="spellStart"/>
      <w:r>
        <w:rPr>
          <w:i/>
        </w:rPr>
        <w:t>ma</w:t>
      </w:r>
      <w:proofErr w:type="spellEnd"/>
      <w:r>
        <w:rPr>
          <w:i/>
        </w:rPr>
        <w:t xml:space="preserve"> </w:t>
      </w:r>
      <w:proofErr w:type="spellStart"/>
      <w:r>
        <w:rPr>
          <w:i/>
        </w:rPr>
        <w:t>nekdy</w:t>
      </w:r>
      <w:proofErr w:type="spellEnd"/>
      <w:r>
        <w:rPr>
          <w:i/>
        </w:rPr>
        <w:t xml:space="preserve"> dojit k </w:t>
      </w:r>
      <w:proofErr w:type="spellStart"/>
      <w:r>
        <w:rPr>
          <w:i/>
        </w:rPr>
        <w:t>prevedu</w:t>
      </w:r>
      <w:proofErr w:type="spellEnd"/>
      <w:r>
        <w:rPr>
          <w:i/>
        </w:rPr>
        <w:t xml:space="preserve"> bytu do os. vlastnictví, je </w:t>
      </w:r>
      <w:proofErr w:type="spellStart"/>
      <w:r>
        <w:rPr>
          <w:i/>
        </w:rPr>
        <w:t>nutne</w:t>
      </w:r>
      <w:proofErr w:type="spellEnd"/>
      <w:r>
        <w:rPr>
          <w:i/>
        </w:rPr>
        <w:t xml:space="preserve"> odhlasovat body 1 a 2. […] Pokud se ty </w:t>
      </w:r>
      <w:proofErr w:type="spellStart"/>
      <w:r>
        <w:rPr>
          <w:i/>
        </w:rPr>
        <w:t>hlasovani</w:t>
      </w:r>
      <w:proofErr w:type="spellEnd"/>
      <w:r>
        <w:rPr>
          <w:i/>
        </w:rPr>
        <w:t xml:space="preserve"> budou tykat všech lidi, tak </w:t>
      </w:r>
      <w:proofErr w:type="spellStart"/>
      <w:r>
        <w:rPr>
          <w:i/>
        </w:rPr>
        <w:t>naprosta</w:t>
      </w:r>
      <w:proofErr w:type="spellEnd"/>
      <w:r>
        <w:rPr>
          <w:i/>
        </w:rPr>
        <w:t xml:space="preserve"> většina zvedne pro všechny </w:t>
      </w:r>
      <w:proofErr w:type="spellStart"/>
      <w:r>
        <w:rPr>
          <w:i/>
        </w:rPr>
        <w:t>tri</w:t>
      </w:r>
      <w:proofErr w:type="spellEnd"/>
      <w:r>
        <w:rPr>
          <w:i/>
        </w:rPr>
        <w:t xml:space="preserve"> body ruku. </w:t>
      </w:r>
      <w:proofErr w:type="spellStart"/>
      <w:r>
        <w:rPr>
          <w:i/>
        </w:rPr>
        <w:t>Staci</w:t>
      </w:r>
      <w:proofErr w:type="spellEnd"/>
      <w:r>
        <w:rPr>
          <w:i/>
        </w:rPr>
        <w:t xml:space="preserve"> dodat před </w:t>
      </w:r>
      <w:proofErr w:type="spellStart"/>
      <w:r>
        <w:rPr>
          <w:i/>
        </w:rPr>
        <w:t>hlasovanim</w:t>
      </w:r>
      <w:proofErr w:type="spellEnd"/>
      <w:r>
        <w:rPr>
          <w:i/>
        </w:rPr>
        <w:t xml:space="preserve">, ze </w:t>
      </w:r>
      <w:proofErr w:type="spellStart"/>
      <w:r>
        <w:rPr>
          <w:i/>
        </w:rPr>
        <w:t>zamitnutim</w:t>
      </w:r>
      <w:proofErr w:type="spellEnd"/>
      <w:r>
        <w:rPr>
          <w:i/>
        </w:rPr>
        <w:t xml:space="preserve"> se </w:t>
      </w:r>
      <w:proofErr w:type="spellStart"/>
      <w:r>
        <w:rPr>
          <w:i/>
        </w:rPr>
        <w:t>zaviraji</w:t>
      </w:r>
      <w:proofErr w:type="spellEnd"/>
      <w:r>
        <w:rPr>
          <w:i/>
        </w:rPr>
        <w:t xml:space="preserve"> </w:t>
      </w:r>
      <w:proofErr w:type="spellStart"/>
      <w:r>
        <w:rPr>
          <w:i/>
        </w:rPr>
        <w:t>jakekoliv</w:t>
      </w:r>
      <w:proofErr w:type="spellEnd"/>
      <w:r>
        <w:rPr>
          <w:i/>
        </w:rPr>
        <w:t xml:space="preserve"> </w:t>
      </w:r>
      <w:proofErr w:type="spellStart"/>
      <w:r>
        <w:rPr>
          <w:i/>
        </w:rPr>
        <w:t>prevody</w:t>
      </w:r>
      <w:proofErr w:type="spellEnd"/>
      <w:r>
        <w:rPr>
          <w:i/>
        </w:rPr>
        <w:t xml:space="preserve"> do os. vlastnictví a </w:t>
      </w:r>
      <w:proofErr w:type="spellStart"/>
      <w:r>
        <w:rPr>
          <w:i/>
        </w:rPr>
        <w:t>navic</w:t>
      </w:r>
      <w:proofErr w:type="spellEnd"/>
      <w:r>
        <w:rPr>
          <w:i/>
        </w:rPr>
        <w:t xml:space="preserve"> </w:t>
      </w:r>
      <w:proofErr w:type="spellStart"/>
      <w:r>
        <w:rPr>
          <w:i/>
        </w:rPr>
        <w:t>hrozi</w:t>
      </w:r>
      <w:proofErr w:type="spellEnd"/>
      <w:r>
        <w:rPr>
          <w:i/>
        </w:rPr>
        <w:t xml:space="preserve"> riziko </w:t>
      </w:r>
      <w:proofErr w:type="spellStart"/>
      <w:r>
        <w:rPr>
          <w:i/>
        </w:rPr>
        <w:t>zalob</w:t>
      </w:r>
      <w:proofErr w:type="spellEnd"/>
      <w:r>
        <w:rPr>
          <w:i/>
        </w:rPr>
        <w:t xml:space="preserve"> y </w:t>
      </w:r>
      <w:proofErr w:type="spellStart"/>
      <w:r>
        <w:rPr>
          <w:i/>
        </w:rPr>
        <w:t>nenaplnenych</w:t>
      </w:r>
      <w:proofErr w:type="spellEnd"/>
      <w:r>
        <w:rPr>
          <w:i/>
        </w:rPr>
        <w:t xml:space="preserve"> smluv a </w:t>
      </w:r>
      <w:proofErr w:type="spellStart"/>
      <w:r>
        <w:rPr>
          <w:i/>
        </w:rPr>
        <w:t>druzstvo</w:t>
      </w:r>
      <w:proofErr w:type="spellEnd"/>
      <w:r>
        <w:rPr>
          <w:i/>
        </w:rPr>
        <w:t xml:space="preserve"> vyvstanou další </w:t>
      </w:r>
      <w:proofErr w:type="spellStart"/>
      <w:r>
        <w:rPr>
          <w:i/>
        </w:rPr>
        <w:t>nemale</w:t>
      </w:r>
      <w:proofErr w:type="spellEnd"/>
      <w:r>
        <w:rPr>
          <w:i/>
        </w:rPr>
        <w:t xml:space="preserve"> </w:t>
      </w:r>
      <w:proofErr w:type="spellStart"/>
      <w:r>
        <w:rPr>
          <w:i/>
        </w:rPr>
        <w:t>naklady</w:t>
      </w:r>
      <w:proofErr w:type="spellEnd"/>
      <w:r>
        <w:rPr>
          <w:i/>
        </w:rPr>
        <w:t xml:space="preserve"> (</w:t>
      </w:r>
      <w:proofErr w:type="spellStart"/>
      <w:r>
        <w:rPr>
          <w:i/>
        </w:rPr>
        <w:t>at</w:t>
      </w:r>
      <w:proofErr w:type="spellEnd"/>
      <w:r>
        <w:rPr>
          <w:i/>
        </w:rPr>
        <w:t xml:space="preserve"> to projede nebo ne).“</w:t>
      </w:r>
      <w:r>
        <w:t xml:space="preserve"> </w:t>
      </w:r>
    </w:p>
    <w:p w14:paraId="26395FD1" w14:textId="77777777" w:rsidR="00CA220E" w:rsidRDefault="00000000">
      <w:pPr>
        <w:numPr>
          <w:ilvl w:val="0"/>
          <w:numId w:val="7"/>
        </w:numPr>
        <w:ind w:right="0" w:hanging="397"/>
      </w:pPr>
      <w:r>
        <w:t xml:space="preserve">Z návrhu prohlášení vlastníka o rozdělení práva k domu na vlastnické právo k jednotkám, které zpracovalo družstvo (č. l. 584), soud zjistil, že podle tohoto návrhu prohlášení vlastníka by družstvo a statutární město Zlín rozdělily vlastnické právo k bytovému domu s č. p. 5407 na vlastnické právo k jednotkám, a to – mimo jiné – tak, že jako jednotka </w:t>
      </w:r>
    </w:p>
    <w:p w14:paraId="021D92E5" w14:textId="77777777" w:rsidR="00CA220E" w:rsidRDefault="00CA220E">
      <w:pPr>
        <w:sectPr w:rsidR="00CA220E">
          <w:headerReference w:type="even" r:id="rId7"/>
          <w:headerReference w:type="default" r:id="rId8"/>
          <w:footerReference w:type="even" r:id="rId9"/>
          <w:footerReference w:type="default" r:id="rId10"/>
          <w:headerReference w:type="first" r:id="rId11"/>
          <w:footerReference w:type="first" r:id="rId12"/>
          <w:pgSz w:w="11906" w:h="16838"/>
          <w:pgMar w:top="1069" w:right="1415" w:bottom="1191" w:left="782" w:header="708" w:footer="708" w:gutter="0"/>
          <w:cols w:space="708"/>
          <w:titlePg/>
        </w:sectPr>
      </w:pPr>
    </w:p>
    <w:p w14:paraId="439916FC" w14:textId="77777777" w:rsidR="00CA220E" w:rsidRDefault="00000000">
      <w:pPr>
        <w:ind w:left="1391" w:right="0" w:firstLine="0"/>
      </w:pPr>
      <w:r>
        <w:lastRenderedPageBreak/>
        <w:t xml:space="preserve">č. 5407/1 by byla vymezena </w:t>
      </w:r>
      <w:r>
        <w:rPr>
          <w:i/>
        </w:rPr>
        <w:t>„garáž“</w:t>
      </w:r>
      <w:r>
        <w:t xml:space="preserve"> v 1. podzemním podlaží, kterou tvoří garáže G1, G2, G3 a automobilová stání A1, A2, A3, A4, A5, jakož i pojízdná komunikace. Všechny tyto prostory jsou zakresleny v grafickém schématu 1. podzemního podlaží. </w:t>
      </w:r>
    </w:p>
    <w:p w14:paraId="63139970" w14:textId="77777777" w:rsidR="00CA220E" w:rsidRDefault="00000000">
      <w:pPr>
        <w:numPr>
          <w:ilvl w:val="0"/>
          <w:numId w:val="7"/>
        </w:numPr>
        <w:ind w:right="0" w:hanging="397"/>
      </w:pPr>
      <w:r>
        <w:t xml:space="preserve">Ze stanov družstva schválených členskou schůzí 16. 4. 2014 (č. l. 106–127) soud zjistil, že: </w:t>
      </w:r>
    </w:p>
    <w:p w14:paraId="01F25102" w14:textId="77777777" w:rsidR="00CA220E" w:rsidRDefault="00000000">
      <w:pPr>
        <w:numPr>
          <w:ilvl w:val="1"/>
          <w:numId w:val="7"/>
        </w:numPr>
        <w:ind w:right="0" w:hanging="511"/>
      </w:pPr>
      <w:r>
        <w:t xml:space="preserve">Podle článku 4 odst. 2 za porušení svých závazků odpovídá bytové družstvo celým svým majetkem. Členové neručí za závazky bytového družstva, nestanoví-li zákon pro některé případy jinak. Uhrazovací povinnost mají členové jen v případech a v rozsahu, jak určují tyto stanovy. </w:t>
      </w:r>
    </w:p>
    <w:p w14:paraId="481A5BBE" w14:textId="77777777" w:rsidR="00CA220E" w:rsidRDefault="00000000">
      <w:pPr>
        <w:numPr>
          <w:ilvl w:val="1"/>
          <w:numId w:val="7"/>
        </w:numPr>
        <w:ind w:right="0" w:hanging="511"/>
      </w:pPr>
      <w:r>
        <w:t xml:space="preserve">Podle článku 5 odst. 3 se člen bytového družstva, </w:t>
      </w:r>
      <w:r w:rsidRPr="00357CE0">
        <w:rPr>
          <w:b/>
          <w:bCs/>
        </w:rPr>
        <w:t>s jehož družstevním podílem není spojeno právo na uzavření smlouvy o nájmu družstevního bytu ani nájem družstevního bytu</w:t>
      </w:r>
      <w:r>
        <w:t xml:space="preserve">, podílí na základním kapitálu bytového družstva základním členským vkladem; může se podílet na základním kapitálu dalším členským vkladem spojeným s pořízením bytů, které družstvo pronajímá jiné osobě. </w:t>
      </w:r>
    </w:p>
    <w:p w14:paraId="363E73B3" w14:textId="77777777" w:rsidR="00CA220E" w:rsidRDefault="00000000">
      <w:pPr>
        <w:numPr>
          <w:ilvl w:val="1"/>
          <w:numId w:val="7"/>
        </w:numPr>
        <w:ind w:right="0" w:hanging="511"/>
      </w:pPr>
      <w:r>
        <w:t xml:space="preserve">Podle článku 17 odst. 1 člen družstva, zájemce o nájem bytu, má právo, aby představenstvo družstva rozhodlo se spoluvlastníkem bytového domu o přidělení určitého bytu a o uzavření nájemní smlouvy k tomuto bytu, splní-li člen všechny podmínky, vyplývající z těchto stanov. </w:t>
      </w:r>
    </w:p>
    <w:p w14:paraId="14E9652F" w14:textId="77777777" w:rsidR="00CA220E" w:rsidRDefault="00000000">
      <w:pPr>
        <w:numPr>
          <w:ilvl w:val="1"/>
          <w:numId w:val="7"/>
        </w:numPr>
        <w:ind w:right="0" w:hanging="511"/>
      </w:pPr>
      <w:r>
        <w:t xml:space="preserve">Podle článku 18 jsou orgány družstva členská schůze, představenstvo a kontrolní komise. </w:t>
      </w:r>
    </w:p>
    <w:p w14:paraId="58DB76AB" w14:textId="77777777" w:rsidR="00CA220E" w:rsidRDefault="00000000">
      <w:pPr>
        <w:numPr>
          <w:ilvl w:val="1"/>
          <w:numId w:val="7"/>
        </w:numPr>
        <w:ind w:right="0" w:hanging="511"/>
      </w:pPr>
      <w:r>
        <w:t xml:space="preserve">Podle článku 19 odst. 1 je nejvyšším orgánem družstva členská schůze. </w:t>
      </w:r>
    </w:p>
    <w:p w14:paraId="7664599B" w14:textId="77777777" w:rsidR="00CA220E" w:rsidRDefault="00000000">
      <w:pPr>
        <w:numPr>
          <w:ilvl w:val="1"/>
          <w:numId w:val="7"/>
        </w:numPr>
        <w:ind w:right="0" w:hanging="511"/>
      </w:pPr>
      <w:r>
        <w:t xml:space="preserve">Podle článku 19 odst. 4 písm. k), m) a n) do působnosti členské schůze patří: </w:t>
      </w:r>
    </w:p>
    <w:p w14:paraId="02CE8733" w14:textId="77777777" w:rsidR="00CA220E" w:rsidRDefault="00000000">
      <w:pPr>
        <w:ind w:left="2066" w:right="0" w:firstLine="0"/>
      </w:pPr>
      <w:r>
        <w:t>k)</w:t>
      </w:r>
      <w:r>
        <w:rPr>
          <w:rFonts w:ascii="Arial" w:eastAsia="Arial" w:hAnsi="Arial" w:cs="Arial"/>
        </w:rPr>
        <w:t xml:space="preserve"> </w:t>
      </w:r>
      <w:r>
        <w:t xml:space="preserve">schvalovat hospodaření s majetkem družstva, </w:t>
      </w:r>
    </w:p>
    <w:p w14:paraId="4825549E" w14:textId="77777777" w:rsidR="00CA220E" w:rsidRDefault="00000000">
      <w:pPr>
        <w:numPr>
          <w:ilvl w:val="2"/>
          <w:numId w:val="8"/>
        </w:numPr>
        <w:ind w:left="2422" w:right="0" w:hanging="356"/>
      </w:pPr>
      <w:r>
        <w:t xml:space="preserve">rozhodovat o zcizení majetku družstva včetně uzavírání dohod o smlouvách budoucích, </w:t>
      </w:r>
    </w:p>
    <w:p w14:paraId="5B2C07DE" w14:textId="77777777" w:rsidR="00CA220E" w:rsidRDefault="00000000">
      <w:pPr>
        <w:numPr>
          <w:ilvl w:val="2"/>
          <w:numId w:val="8"/>
        </w:numPr>
        <w:ind w:left="2422" w:right="0" w:hanging="356"/>
      </w:pPr>
      <w:r>
        <w:t xml:space="preserve">rozhodovat o dalších pronájmech bytových a nebytových prostor. </w:t>
      </w:r>
    </w:p>
    <w:p w14:paraId="4336B1A8" w14:textId="77777777" w:rsidR="00CA220E" w:rsidRDefault="00000000">
      <w:pPr>
        <w:numPr>
          <w:ilvl w:val="1"/>
          <w:numId w:val="7"/>
        </w:numPr>
        <w:ind w:right="0" w:hanging="511"/>
      </w:pPr>
      <w:r>
        <w:t xml:space="preserve">Podle článku 19 odst. 5 si členská schůze může vyhradit rozhodování kterékoliv otázky, týkající se družstva a jeho činnosti, neuvedené v předchozím odstavci. To neplatní, jestli se jedná o záležitosti svěřené v ZOK do působnosti představenstva nebo kontrolní komise. </w:t>
      </w:r>
    </w:p>
    <w:p w14:paraId="244A43FD" w14:textId="77777777" w:rsidR="00CA220E" w:rsidRDefault="00000000">
      <w:pPr>
        <w:numPr>
          <w:ilvl w:val="1"/>
          <w:numId w:val="7"/>
        </w:numPr>
        <w:ind w:right="0" w:hanging="511"/>
      </w:pPr>
      <w:r>
        <w:t xml:space="preserve">Podle článku 19 odst. 14 člen družstva může podat návrh soudu na vyslovení neplatnosti usnesení členské schůze, jestliže požádal o zaprotokolování námitky na členské schůzi, která usnesení přijala nebo jestliže námitku oznámil představenstvu družstva do jednoho měsíce od konání této schůze. Návrh soudu lze podat jen do jednoho měsíce ode dne, kdy člen požádal o zaprotokolování námitky nebo od oznámení námitky představenstvu družstva. </w:t>
      </w:r>
    </w:p>
    <w:p w14:paraId="501EFF1A" w14:textId="77777777" w:rsidR="00CA220E" w:rsidRDefault="00000000">
      <w:pPr>
        <w:numPr>
          <w:ilvl w:val="1"/>
          <w:numId w:val="7"/>
        </w:numPr>
        <w:ind w:right="0" w:hanging="511"/>
      </w:pPr>
      <w:r>
        <w:t xml:space="preserve">Podle článku 20 odst. 1 je představenstvo statutárním a výkonným orgánem družstva, řídí činnost družstva a </w:t>
      </w:r>
      <w:r w:rsidRPr="00357CE0">
        <w:rPr>
          <w:b/>
          <w:bCs/>
        </w:rPr>
        <w:t>rozhoduje o všech záležitostech, pokud nejsou zákonem, stanovami a rozhodnutím členské schůze vyhrazeny jinému orgánu</w:t>
      </w:r>
      <w:r>
        <w:t xml:space="preserve"> </w:t>
      </w:r>
    </w:p>
    <w:p w14:paraId="502D5924" w14:textId="77777777" w:rsidR="00CA220E" w:rsidRDefault="00000000">
      <w:pPr>
        <w:numPr>
          <w:ilvl w:val="1"/>
          <w:numId w:val="7"/>
        </w:numPr>
        <w:ind w:right="0" w:hanging="511"/>
      </w:pPr>
      <w:r>
        <w:t xml:space="preserve">Podle článku 20 odst. 7 písm. a) a b) představenstvu náleží zejména tyto činnosti: </w:t>
      </w:r>
    </w:p>
    <w:p w14:paraId="76C1ABF7" w14:textId="77777777" w:rsidR="00CA220E" w:rsidRDefault="00000000">
      <w:pPr>
        <w:numPr>
          <w:ilvl w:val="2"/>
          <w:numId w:val="9"/>
        </w:numPr>
        <w:ind w:left="2422" w:right="0" w:hanging="356"/>
      </w:pPr>
      <w:r>
        <w:lastRenderedPageBreak/>
        <w:t xml:space="preserve">řídí činnost družstva a rozhoduje o všech záležitostech, které nejsou stanovami svěřeny jiným orgánům, </w:t>
      </w:r>
    </w:p>
    <w:p w14:paraId="7EEF2687" w14:textId="77777777" w:rsidR="00CA220E" w:rsidRDefault="00000000">
      <w:pPr>
        <w:numPr>
          <w:ilvl w:val="2"/>
          <w:numId w:val="9"/>
        </w:numPr>
        <w:ind w:left="2422" w:right="0" w:hanging="356"/>
      </w:pPr>
      <w:r>
        <w:t xml:space="preserve">plní usnesení členské schůze a odpovídá ji za svou činnost. </w:t>
      </w:r>
    </w:p>
    <w:p w14:paraId="37A5F65D" w14:textId="77777777" w:rsidR="00CA220E" w:rsidRDefault="00000000">
      <w:pPr>
        <w:ind w:left="1890" w:right="0" w:hanging="398"/>
      </w:pPr>
      <w:proofErr w:type="spellStart"/>
      <w:r>
        <w:t>xi</w:t>
      </w:r>
      <w:proofErr w:type="spellEnd"/>
      <w:r>
        <w:t>.</w:t>
      </w:r>
      <w:r>
        <w:rPr>
          <w:rFonts w:ascii="Arial" w:eastAsia="Arial" w:hAnsi="Arial" w:cs="Arial"/>
        </w:rPr>
        <w:t xml:space="preserve"> </w:t>
      </w:r>
      <w:r>
        <w:t xml:space="preserve">Podle článku 20 odst. 11 se představenstvo řídí zásadami a pokyny schválenými členskou schůzí, pokud jsou v souladu s právními předpisy a stanovami. Jejich porušení nemá vliv na účinky jednání členů představenstva vůči třetím osobám. Nikdo není oprávněn dávat představenstvu pokyny týkající se obchodního vedení družstva. </w:t>
      </w:r>
    </w:p>
    <w:p w14:paraId="74E92838" w14:textId="77777777" w:rsidR="00CA220E" w:rsidRDefault="00000000">
      <w:pPr>
        <w:numPr>
          <w:ilvl w:val="0"/>
          <w:numId w:val="7"/>
        </w:numPr>
        <w:ind w:right="0" w:hanging="397"/>
      </w:pPr>
      <w:r>
        <w:t xml:space="preserve">Z notářského zápisu notářky Mgr. Terezy </w:t>
      </w:r>
      <w:proofErr w:type="spellStart"/>
      <w:r>
        <w:t>Melzerové</w:t>
      </w:r>
      <w:proofErr w:type="spellEnd"/>
      <w:r>
        <w:t xml:space="preserve">, </w:t>
      </w:r>
      <w:proofErr w:type="spellStart"/>
      <w:r>
        <w:t>sp</w:t>
      </w:r>
      <w:proofErr w:type="spellEnd"/>
      <w:r>
        <w:t xml:space="preserve">. zn. NZ 256/2024, N 246/2024 (č. l. 194), soud zjistil, že členská schůze odvolala navrhovatele 4. 6. 2024 z funkce člena představenstva. </w:t>
      </w:r>
    </w:p>
    <w:p w14:paraId="2FB8F5C3" w14:textId="77777777" w:rsidR="00CA220E" w:rsidRDefault="00000000">
      <w:pPr>
        <w:numPr>
          <w:ilvl w:val="0"/>
          <w:numId w:val="7"/>
        </w:numPr>
        <w:ind w:right="0" w:hanging="397"/>
      </w:pPr>
      <w:r>
        <w:t xml:space="preserve">Z tabulky </w:t>
      </w:r>
      <w:r>
        <w:rPr>
          <w:i/>
        </w:rPr>
        <w:t>„bytů-říjen 2004 Iva soud 5“</w:t>
      </w:r>
      <w:r>
        <w:t xml:space="preserve"> (č. l. 33–34) soud zjistil, že navrhovatel je členem družstva </w:t>
      </w:r>
      <w:r w:rsidRPr="00905278">
        <w:rPr>
          <w:b/>
          <w:bCs/>
          <w:color w:val="EE0000"/>
        </w:rPr>
        <w:t>s právem nájmu k družstevním bytu</w:t>
      </w:r>
      <w:r w:rsidRPr="00905278">
        <w:rPr>
          <w:color w:val="EE0000"/>
        </w:rPr>
        <w:t xml:space="preserve"> </w:t>
      </w:r>
      <w:r>
        <w:t xml:space="preserve">v bytovém domě číslo popisné 5407. </w:t>
      </w:r>
    </w:p>
    <w:p w14:paraId="65B918C6" w14:textId="77777777" w:rsidR="00CA220E" w:rsidRDefault="00000000">
      <w:pPr>
        <w:numPr>
          <w:ilvl w:val="0"/>
          <w:numId w:val="7"/>
        </w:numPr>
        <w:ind w:right="0" w:hanging="397"/>
      </w:pPr>
      <w:r>
        <w:t xml:space="preserve">Ze seznamu členů 140210 (č. l. 38-47) soud zjistil, že navrhovatel je členem družstva s </w:t>
      </w:r>
      <w:r w:rsidRPr="00905278">
        <w:rPr>
          <w:b/>
          <w:bCs/>
          <w:color w:val="EE0000"/>
        </w:rPr>
        <w:t>právem nájmu k družstevním bytu</w:t>
      </w:r>
      <w:r>
        <w:t xml:space="preserve">. </w:t>
      </w:r>
    </w:p>
    <w:p w14:paraId="08F84318" w14:textId="77777777" w:rsidR="00CA220E" w:rsidRDefault="00000000">
      <w:pPr>
        <w:numPr>
          <w:ilvl w:val="0"/>
          <w:numId w:val="10"/>
        </w:numPr>
        <w:spacing w:after="148"/>
        <w:ind w:right="0" w:hanging="637"/>
      </w:pPr>
      <w:r>
        <w:t xml:space="preserve">Z dalších důkazů, které byly provedeny, Krajský soud v Brně neučinil žádná pro věc významná skutková zjištění. </w:t>
      </w:r>
    </w:p>
    <w:p w14:paraId="3732970F" w14:textId="77777777" w:rsidR="00CA220E" w:rsidRDefault="00000000">
      <w:pPr>
        <w:numPr>
          <w:ilvl w:val="0"/>
          <w:numId w:val="10"/>
        </w:numPr>
        <w:ind w:right="0" w:hanging="637"/>
      </w:pPr>
      <w:r>
        <w:t xml:space="preserve">Návrh na provedení důkazů výslechy: </w:t>
      </w:r>
    </w:p>
    <w:p w14:paraId="2AD9DBCA" w14:textId="77777777" w:rsidR="00CA220E" w:rsidRDefault="00000000">
      <w:pPr>
        <w:numPr>
          <w:ilvl w:val="2"/>
          <w:numId w:val="15"/>
        </w:numPr>
        <w:spacing w:after="10"/>
        <w:ind w:right="0" w:hanging="397"/>
      </w:pPr>
      <w:r>
        <w:t xml:space="preserve">Jana </w:t>
      </w:r>
      <w:proofErr w:type="spellStart"/>
      <w:r>
        <w:t>Suroviče</w:t>
      </w:r>
      <w:proofErr w:type="spellEnd"/>
      <w:r>
        <w:t xml:space="preserve">, </w:t>
      </w:r>
    </w:p>
    <w:p w14:paraId="02D196D9" w14:textId="77777777" w:rsidR="00CA220E" w:rsidRDefault="00000000">
      <w:pPr>
        <w:numPr>
          <w:ilvl w:val="2"/>
          <w:numId w:val="15"/>
        </w:numPr>
        <w:spacing w:after="10"/>
        <w:ind w:right="0" w:hanging="397"/>
      </w:pPr>
      <w:r>
        <w:t xml:space="preserve">Jiřího Skopalíka, </w:t>
      </w:r>
    </w:p>
    <w:p w14:paraId="3D94BABB" w14:textId="77777777" w:rsidR="00CA220E" w:rsidRDefault="00000000">
      <w:pPr>
        <w:numPr>
          <w:ilvl w:val="2"/>
          <w:numId w:val="15"/>
        </w:numPr>
        <w:spacing w:after="10"/>
        <w:ind w:right="0" w:hanging="397"/>
      </w:pPr>
      <w:r>
        <w:t xml:space="preserve">Jiřího </w:t>
      </w:r>
      <w:proofErr w:type="spellStart"/>
      <w:r>
        <w:t>Robenka</w:t>
      </w:r>
      <w:proofErr w:type="spellEnd"/>
      <w:r>
        <w:t xml:space="preserve">, </w:t>
      </w:r>
    </w:p>
    <w:p w14:paraId="0DCC5EBF" w14:textId="77777777" w:rsidR="00CA220E" w:rsidRDefault="00000000">
      <w:pPr>
        <w:numPr>
          <w:ilvl w:val="2"/>
          <w:numId w:val="15"/>
        </w:numPr>
        <w:spacing w:after="10"/>
        <w:ind w:right="0" w:hanging="397"/>
      </w:pPr>
      <w:r>
        <w:t xml:space="preserve">Františka Chvatíka, </w:t>
      </w:r>
    </w:p>
    <w:p w14:paraId="745B8273" w14:textId="77777777" w:rsidR="00CA220E" w:rsidRDefault="00000000">
      <w:pPr>
        <w:numPr>
          <w:ilvl w:val="2"/>
          <w:numId w:val="15"/>
        </w:numPr>
        <w:spacing w:after="10"/>
        <w:ind w:right="0" w:hanging="397"/>
      </w:pPr>
      <w:r>
        <w:t xml:space="preserve">Michaely </w:t>
      </w:r>
      <w:proofErr w:type="spellStart"/>
      <w:r>
        <w:t>Černobilové</w:t>
      </w:r>
      <w:proofErr w:type="spellEnd"/>
      <w:r>
        <w:t xml:space="preserve">, </w:t>
      </w:r>
    </w:p>
    <w:p w14:paraId="75A87766" w14:textId="77777777" w:rsidR="00CA220E" w:rsidRDefault="00000000">
      <w:pPr>
        <w:numPr>
          <w:ilvl w:val="2"/>
          <w:numId w:val="15"/>
        </w:numPr>
        <w:spacing w:after="10"/>
        <w:ind w:right="0" w:hanging="397"/>
      </w:pPr>
      <w:r>
        <w:t xml:space="preserve">Vratislava Řezáče, </w:t>
      </w:r>
    </w:p>
    <w:p w14:paraId="5AF98D8C" w14:textId="77777777" w:rsidR="00CA220E" w:rsidRDefault="00000000">
      <w:pPr>
        <w:numPr>
          <w:ilvl w:val="2"/>
          <w:numId w:val="15"/>
        </w:numPr>
        <w:spacing w:after="10"/>
        <w:ind w:right="0" w:hanging="397"/>
      </w:pPr>
      <w:r>
        <w:t xml:space="preserve">Jitky Hnilicové, </w:t>
      </w:r>
    </w:p>
    <w:p w14:paraId="32B819B0" w14:textId="77777777" w:rsidR="00CA220E" w:rsidRDefault="00000000">
      <w:pPr>
        <w:numPr>
          <w:ilvl w:val="2"/>
          <w:numId w:val="15"/>
        </w:numPr>
        <w:spacing w:after="10"/>
        <w:ind w:right="0" w:hanging="397"/>
      </w:pPr>
      <w:r>
        <w:t xml:space="preserve">Boženy Malaníkové, </w:t>
      </w:r>
    </w:p>
    <w:p w14:paraId="5BBE4901" w14:textId="77777777" w:rsidR="00CA220E" w:rsidRDefault="00000000">
      <w:pPr>
        <w:numPr>
          <w:ilvl w:val="2"/>
          <w:numId w:val="15"/>
        </w:numPr>
        <w:spacing w:after="10"/>
        <w:ind w:right="0" w:hanging="397"/>
      </w:pPr>
      <w:r>
        <w:t xml:space="preserve">Pavla Jakubíčka, </w:t>
      </w:r>
    </w:p>
    <w:p w14:paraId="2E03A3ED" w14:textId="77777777" w:rsidR="00CA220E" w:rsidRDefault="00000000">
      <w:pPr>
        <w:numPr>
          <w:ilvl w:val="2"/>
          <w:numId w:val="15"/>
        </w:numPr>
        <w:spacing w:after="10"/>
        <w:ind w:right="0" w:hanging="397"/>
      </w:pPr>
      <w:r>
        <w:t xml:space="preserve">Petra Konečného, </w:t>
      </w:r>
    </w:p>
    <w:p w14:paraId="5CB4788A" w14:textId="77777777" w:rsidR="00CA220E" w:rsidRDefault="00000000">
      <w:pPr>
        <w:numPr>
          <w:ilvl w:val="2"/>
          <w:numId w:val="15"/>
        </w:numPr>
        <w:spacing w:after="10"/>
        <w:ind w:right="0" w:hanging="397"/>
      </w:pPr>
      <w:r>
        <w:t xml:space="preserve">Petra Zavadila, </w:t>
      </w:r>
    </w:p>
    <w:p w14:paraId="12811DE0" w14:textId="77777777" w:rsidR="00CA220E" w:rsidRDefault="00000000">
      <w:pPr>
        <w:numPr>
          <w:ilvl w:val="2"/>
          <w:numId w:val="15"/>
        </w:numPr>
        <w:spacing w:after="10"/>
        <w:ind w:right="0" w:hanging="397"/>
      </w:pPr>
      <w:r>
        <w:t xml:space="preserve">Anny Karešové, </w:t>
      </w:r>
    </w:p>
    <w:p w14:paraId="7E63E8BF" w14:textId="77777777" w:rsidR="00CA220E" w:rsidRDefault="00000000">
      <w:pPr>
        <w:numPr>
          <w:ilvl w:val="2"/>
          <w:numId w:val="15"/>
        </w:numPr>
        <w:spacing w:after="10"/>
        <w:ind w:right="0" w:hanging="397"/>
      </w:pPr>
      <w:r>
        <w:t xml:space="preserve">Ivo Fišera, </w:t>
      </w:r>
    </w:p>
    <w:p w14:paraId="59E4E770" w14:textId="77777777" w:rsidR="00CA220E" w:rsidRDefault="00000000">
      <w:pPr>
        <w:numPr>
          <w:ilvl w:val="2"/>
          <w:numId w:val="15"/>
        </w:numPr>
        <w:spacing w:after="10"/>
        <w:ind w:right="0" w:hanging="397"/>
      </w:pPr>
      <w:r>
        <w:t xml:space="preserve">Tomáše Večeři a </w:t>
      </w:r>
    </w:p>
    <w:p w14:paraId="3D8F9DDD" w14:textId="77777777" w:rsidR="00CA220E" w:rsidRDefault="00000000">
      <w:pPr>
        <w:numPr>
          <w:ilvl w:val="2"/>
          <w:numId w:val="15"/>
        </w:numPr>
        <w:ind w:right="0" w:hanging="397"/>
      </w:pPr>
      <w:proofErr w:type="spellStart"/>
      <w:r>
        <w:t>Stavoslava</w:t>
      </w:r>
      <w:proofErr w:type="spellEnd"/>
      <w:r>
        <w:t xml:space="preserve"> </w:t>
      </w:r>
      <w:proofErr w:type="spellStart"/>
      <w:r>
        <w:t>Žalůdka</w:t>
      </w:r>
      <w:proofErr w:type="spellEnd"/>
      <w:r>
        <w:t xml:space="preserve">, </w:t>
      </w:r>
    </w:p>
    <w:p w14:paraId="49A7E986" w14:textId="77777777" w:rsidR="00CA220E" w:rsidRDefault="00000000">
      <w:pPr>
        <w:ind w:left="637" w:right="0" w:firstLine="0"/>
      </w:pPr>
      <w:r>
        <w:t xml:space="preserve">Krajský soud v Brně zamítl pro nadbytečnost. Učinil tak proto, že tyto důkazní návrhy neměly relevantní souvislost s předmětem řízení, popřípadě měly sloužit k prokázání tvrzení, která již byla prokázána (k tomu z poslední doby obdobně například nález Ústavního soudu z 10. 1. 2024, </w:t>
      </w:r>
      <w:proofErr w:type="spellStart"/>
      <w:r>
        <w:t>sp</w:t>
      </w:r>
      <w:proofErr w:type="spellEnd"/>
      <w:r>
        <w:t xml:space="preserve">. zn. II. ÚS 1318/23, odst. 32). </w:t>
      </w:r>
    </w:p>
    <w:p w14:paraId="49B68309" w14:textId="77777777" w:rsidR="00CA220E" w:rsidRDefault="00000000">
      <w:pPr>
        <w:numPr>
          <w:ilvl w:val="0"/>
          <w:numId w:val="10"/>
        </w:numPr>
        <w:ind w:right="0" w:hanging="637"/>
      </w:pPr>
      <w:r>
        <w:t xml:space="preserve">V případě výslechu osob uvedených pod čísly (1) až (3), které družstvo navrhlo k prokázání širší souvislosti popsaných v odst. 1 až 9 podání z 24. 7. 2024, měl Krajský soud v Brně tyto širší souvislosti za dostatečně prokázané z průběhu dokazování, které bylo provedeno. Hlasování zástupce statutárního města Zlín přitom Krajský soud v Brně nepovažoval za související s předmětem řízení. Ve vztahu výslechům osob uvedených pod čísly (3) a (4), jež byly navrženy k </w:t>
      </w:r>
      <w:r>
        <w:lastRenderedPageBreak/>
        <w:t xml:space="preserve">tvrzením družstva uvedeným v podání družstva z 13. 3. 2025, Krajský soud v Brně neměl tato tvrzení družstva za související s předmětem řízení. A konečně v případě výslechu osob uvedených pod čísly (5) až (15), které družstvo navrhlo k prokázání průběhu členské schůze, resp. na podporu svého závěru o určitosti a srozumitelnosti napadených usnesení, Krajský soud v Brně měl průběh členské schůze i širší souvislosti přijetí napadených usnesení za dostatečně prokázané z průběhu dokazování, které bylo provedeno. </w:t>
      </w:r>
    </w:p>
    <w:p w14:paraId="79CDC370" w14:textId="77777777" w:rsidR="00CA220E" w:rsidRDefault="00000000">
      <w:pPr>
        <w:spacing w:after="124"/>
        <w:ind w:left="632" w:right="0" w:hanging="10"/>
      </w:pPr>
      <w:r>
        <w:rPr>
          <w:i/>
        </w:rPr>
        <w:t>b)</w:t>
      </w:r>
      <w:r>
        <w:rPr>
          <w:rFonts w:ascii="Arial" w:eastAsia="Arial" w:hAnsi="Arial" w:cs="Arial"/>
          <w:i/>
        </w:rPr>
        <w:t xml:space="preserve"> </w:t>
      </w:r>
      <w:r>
        <w:rPr>
          <w:i/>
        </w:rPr>
        <w:t xml:space="preserve">Zjištěný skutkový stav věci </w:t>
      </w:r>
    </w:p>
    <w:p w14:paraId="65CF915A" w14:textId="77777777" w:rsidR="00CA220E" w:rsidRDefault="00000000">
      <w:pPr>
        <w:numPr>
          <w:ilvl w:val="0"/>
          <w:numId w:val="10"/>
        </w:numPr>
        <w:ind w:right="0" w:hanging="637"/>
      </w:pPr>
      <w:r>
        <w:t xml:space="preserve">Na základě dílčích zjištění – hodnocených jednotlivě i v jejich vzájemné souvislosti – učinil soud následující závěr o skutkovém stavu: </w:t>
      </w:r>
    </w:p>
    <w:p w14:paraId="670818A9" w14:textId="77777777" w:rsidR="00CA220E" w:rsidRDefault="00000000">
      <w:pPr>
        <w:numPr>
          <w:ilvl w:val="2"/>
          <w:numId w:val="16"/>
        </w:numPr>
        <w:ind w:right="0" w:hanging="397"/>
      </w:pPr>
      <w:r>
        <w:t xml:space="preserve">Družstvo vzniklo v roce 2002 na popud statutárního města Zlín s tím, že výstavba bytových domů byla realizována za přispění Státního fondu rozvoje bydlení. Jako podmínka čerpání dotaze ze Státního fondu rozvoje bydlení se statutární město Zlín zavázalo, že pod dobu 20 let od kolaudace stavby nepřevede vlastnictví či spoluvlastnictví bytových domů na jinou (třetí) osobu. Za podpory Státního fondu rozvoje bydlení bylo postaveno 6 bytových domů. V 1. podzemním podlaží každého z bytových domů se nachází </w:t>
      </w:r>
      <w:r>
        <w:rPr>
          <w:b/>
        </w:rPr>
        <w:t xml:space="preserve">3 garáže </w:t>
      </w:r>
      <w:r>
        <w:t>a</w:t>
      </w:r>
      <w:r>
        <w:rPr>
          <w:b/>
        </w:rPr>
        <w:t xml:space="preserve"> 5 automobilových (garážových) stání</w:t>
      </w:r>
      <w:r>
        <w:t xml:space="preserve">. Garáže a automobilová (garážová) stání byly zakresleny již v projektové dokumentaci bytových domů. </w:t>
      </w:r>
    </w:p>
    <w:p w14:paraId="3CA70BF9" w14:textId="77777777" w:rsidR="00CA220E" w:rsidRDefault="00000000">
      <w:pPr>
        <w:numPr>
          <w:ilvl w:val="2"/>
          <w:numId w:val="16"/>
        </w:numPr>
        <w:ind w:right="0" w:hanging="397"/>
      </w:pPr>
      <w:r>
        <w:t xml:space="preserve">Od roku 2003 družstvo a statutární město Zlín (jako pronajímatelé) s některými členy družstva uzavíraly </w:t>
      </w:r>
      <w:r>
        <w:rPr>
          <w:b/>
        </w:rPr>
        <w:t>nájemní smlouvy</w:t>
      </w:r>
      <w:r>
        <w:t xml:space="preserve">, kterými těmto družstevníkům přenechávali garáže a garážová stání do dlouhodobého nájmu za jednorázovou platbu fixně stanoveného nájemného (v řádech nižších stovek tisíc korun českých, podle toho, zda šlo o nájem garáže či garážového stání a podle toho, jak dlouho měl nájemní vztah trvat). Jako součást nájemních smluv bylo dohodnuto, že po skončení nájemního vztahu budou mít pronajímatele právo </w:t>
      </w:r>
      <w:r>
        <w:rPr>
          <w:i/>
        </w:rPr>
        <w:t xml:space="preserve">„odkoupit“ </w:t>
      </w:r>
      <w:r>
        <w:t xml:space="preserve">příslušnou garáž či garážové stání za 1 000 Kč. </w:t>
      </w:r>
    </w:p>
    <w:p w14:paraId="6F831D9B" w14:textId="77777777" w:rsidR="00CA220E" w:rsidRDefault="00000000">
      <w:pPr>
        <w:numPr>
          <w:ilvl w:val="2"/>
          <w:numId w:val="16"/>
        </w:numPr>
        <w:ind w:right="0" w:hanging="397"/>
      </w:pPr>
      <w:r>
        <w:t>Vzájemné</w:t>
      </w:r>
      <w:r>
        <w:rPr>
          <w:b/>
        </w:rPr>
        <w:t xml:space="preserve"> majetkové vztahy družstva a statutárního města Zlín</w:t>
      </w:r>
      <w:r>
        <w:t xml:space="preserve"> byly upraveny ve smlouvy o </w:t>
      </w:r>
      <w:r w:rsidRPr="00EA5A99">
        <w:rPr>
          <w:highlight w:val="yellow"/>
        </w:rPr>
        <w:t xml:space="preserve">sdružení </w:t>
      </w:r>
      <w:r w:rsidRPr="00EA5A99">
        <w:rPr>
          <w:b/>
          <w:bCs/>
          <w:color w:val="EE0000"/>
          <w:highlight w:val="yellow"/>
        </w:rPr>
        <w:t>z 16. 8. 2002</w:t>
      </w:r>
      <w:r w:rsidRPr="00EA5A99">
        <w:rPr>
          <w:highlight w:val="yellow"/>
        </w:rPr>
        <w:t>.</w:t>
      </w:r>
      <w:r>
        <w:t xml:space="preserve"> Vzájemné majetkové vztahy družstva a statutárního města Zlín jsou dlouhodobě diskutovány, což souvisí především s možnostmi převodu jednotlivých bytů v bytových domech do (výlučného) vlastnictví členů družstva. Členská schůze se již v roce 2007 zabývala způsoby majetkového vypořádání mezi družstvem a statutárního města Zlín. </w:t>
      </w:r>
    </w:p>
    <w:p w14:paraId="1413AE76" w14:textId="77777777" w:rsidR="00CA220E" w:rsidRDefault="00000000">
      <w:pPr>
        <w:numPr>
          <w:ilvl w:val="2"/>
          <w:numId w:val="16"/>
        </w:numPr>
        <w:ind w:right="0" w:hanging="397"/>
      </w:pPr>
      <w:r>
        <w:t xml:space="preserve">Již v roce 2018 členská schůze projednávala </w:t>
      </w:r>
      <w:r>
        <w:rPr>
          <w:sz w:val="25"/>
        </w:rPr>
        <w:t>„návrh řešení situace s“</w:t>
      </w:r>
      <w:r>
        <w:rPr>
          <w:b/>
        </w:rPr>
        <w:t xml:space="preserve"> garážemi a garážovými stáními</w:t>
      </w:r>
      <w:r>
        <w:t xml:space="preserve">. Většina garážníků (mezi nimiž je i navrhovatel) se od roku 2023 domáhá převodu garáží a garážových stání do jejich (výlučného) vlastnictví. K této otázce byla ze strany družstva i statutárního města Zlín zpracována právní stanoviska. Současně byly ze strany statutárního města Zlín i ze strany družstva vypracovány návrhy prohlášení vlastníků bytových domů, jež by umožňovaly převod bytů a případně i garáží či garážových stání do (výlučného) vlastnictví jednotlivých členů družstva. </w:t>
      </w:r>
    </w:p>
    <w:p w14:paraId="52188EC0" w14:textId="77777777" w:rsidR="00CA220E" w:rsidRDefault="00000000">
      <w:pPr>
        <w:numPr>
          <w:ilvl w:val="2"/>
          <w:numId w:val="16"/>
        </w:numPr>
        <w:ind w:right="0" w:hanging="397"/>
      </w:pPr>
      <w:r>
        <w:t xml:space="preserve">Na 1. 2. 2024 svolal navrhovatel (jako tehdejší předseda představenstva) členskou schůzi, na jejímž programu bylo pod body 3 a 4 </w:t>
      </w:r>
      <w:r>
        <w:rPr>
          <w:i/>
        </w:rPr>
        <w:t xml:space="preserve">„schválení převodu G, GS do osobního vlastnictví“ </w:t>
      </w:r>
      <w:r>
        <w:t xml:space="preserve">a jako bod 4 programu členské schůze bylo avizováno </w:t>
      </w:r>
      <w:r>
        <w:rPr>
          <w:i/>
        </w:rPr>
        <w:t>„stanovení ceny příspěvku na provoz a správu G a GS“</w:t>
      </w:r>
      <w:r>
        <w:t xml:space="preserve">. O usneseních, která byla k těmto bodům původně navržena, členská schůze nehlasovala, neboť přijala </w:t>
      </w:r>
      <w:r>
        <w:rPr>
          <w:b/>
        </w:rPr>
        <w:t>napadená usnesení</w:t>
      </w:r>
      <w:r>
        <w:t xml:space="preserve"> jako protinávrhy Jana </w:t>
      </w:r>
      <w:proofErr w:type="spellStart"/>
      <w:r>
        <w:t>Suroviče</w:t>
      </w:r>
      <w:proofErr w:type="spellEnd"/>
      <w:r>
        <w:t xml:space="preserve">. Někteří členové družstva byli na členské schůzi přítomni (a vykonali svá hlasovací práva) prostřednictvím zástupců. </w:t>
      </w:r>
    </w:p>
    <w:p w14:paraId="13294A33" w14:textId="77777777" w:rsidR="00CA220E" w:rsidRDefault="00000000">
      <w:pPr>
        <w:numPr>
          <w:ilvl w:val="2"/>
          <w:numId w:val="16"/>
        </w:numPr>
        <w:ind w:right="0" w:hanging="397"/>
      </w:pPr>
      <w:r>
        <w:lastRenderedPageBreak/>
        <w:t xml:space="preserve">Členská schůze navrhovatele 4. 6. 2024 odvolala z funkce člena představenstva družstva. Navrhovatel však nadále zůstal (řadovým) členem družstva </w:t>
      </w:r>
    </w:p>
    <w:p w14:paraId="32102FF7" w14:textId="77777777" w:rsidR="00CA220E" w:rsidRDefault="00000000">
      <w:pPr>
        <w:numPr>
          <w:ilvl w:val="2"/>
          <w:numId w:val="16"/>
        </w:numPr>
        <w:ind w:right="0" w:hanging="397"/>
      </w:pPr>
      <w:r>
        <w:rPr>
          <w:b/>
        </w:rPr>
        <w:t>Stanovy družstva</w:t>
      </w:r>
      <w:r>
        <w:t xml:space="preserve"> určují, že orgánem družstva je členská schůze, představenstvo a kontrolní komise. Nejvyšším orgánem družstva je členská schůze, do jejíž působnosti patří (mimo jiné) schvalovat hospodaření s majetkem družstva, rozhodovat o zcizení majetku družstva včetně uzavírání dohod o smlouvách budoucích a rozhodovat o dalších pronájmech bytových a nebytových prostor. Členská schůze si může vyhradit rozhodování kterékoli otázky, týkající se družstva a jeho činnosti. Představenstvo je statutárním </w:t>
      </w:r>
    </w:p>
    <w:p w14:paraId="320CDB5E" w14:textId="77777777" w:rsidR="00CA220E" w:rsidRDefault="00000000">
      <w:pPr>
        <w:spacing w:after="366"/>
        <w:ind w:left="1391" w:right="0" w:firstLine="0"/>
      </w:pPr>
      <w:r>
        <w:t xml:space="preserve">a výkonným orgánem družstva, řídí činnost družstva a rozhoduje o všech záležitostech, pokud nejsou zákonem, stanovami a rozhodnutím členské schůze vyhrazeny jinému orgánu. Představenstvu náleží (mimo jiné) řídit činnost družstva a rozhodovat o všech záležitostech, které nejsou stanovami svěřeny jiným orgánům, jakož i plní usnesení členské schůze a odpovídá ji za svou činnost. Představenstvo se řídí zásadami a pokyny schválenými členskou schůzí, pokud jsou v souladu s právními předpisy a stanovami, a sice s tím, že nikdo není oprávněn dávat představenstvu pokyny týkající se obchodního vedení družstva. </w:t>
      </w:r>
    </w:p>
    <w:p w14:paraId="32486750" w14:textId="77777777" w:rsidR="00CA220E" w:rsidRDefault="00000000">
      <w:pPr>
        <w:spacing w:after="229" w:line="260" w:lineRule="auto"/>
        <w:ind w:left="646" w:right="2" w:hanging="10"/>
        <w:jc w:val="center"/>
      </w:pPr>
      <w:r>
        <w:rPr>
          <w:b/>
        </w:rPr>
        <w:t>III.</w:t>
      </w:r>
      <w:r>
        <w:rPr>
          <w:rFonts w:ascii="Arial" w:eastAsia="Arial" w:hAnsi="Arial" w:cs="Arial"/>
          <w:b/>
        </w:rPr>
        <w:t xml:space="preserve"> </w:t>
      </w:r>
      <w:r>
        <w:rPr>
          <w:b/>
        </w:rPr>
        <w:t xml:space="preserve">Použité právní předpisy </w:t>
      </w:r>
    </w:p>
    <w:p w14:paraId="1EB02A74" w14:textId="77777777" w:rsidR="00CA220E" w:rsidRDefault="00000000">
      <w:pPr>
        <w:numPr>
          <w:ilvl w:val="0"/>
          <w:numId w:val="10"/>
        </w:numPr>
        <w:ind w:right="0" w:hanging="637"/>
      </w:pPr>
      <w:r>
        <w:t xml:space="preserve">Podle § 212 odst. 1 zákona č. 89/2012 Sb., občanského zákoníku, ve znění pozdějších předpisů (dále jen </w:t>
      </w:r>
      <w:r>
        <w:rPr>
          <w:i/>
        </w:rPr>
        <w:t>„o. z.“</w:t>
      </w:r>
      <w:r>
        <w:t xml:space="preserve">), </w:t>
      </w:r>
      <w:r w:rsidRPr="006E1BB9">
        <w:rPr>
          <w:b/>
          <w:bCs/>
          <w:color w:val="EE0000"/>
        </w:rPr>
        <w:t>přijetím členství v korporaci se člen vůči ní zavazuje chovat se čestně a zachovávat její vnitřní řád. Korporace nesmí svého člena bezdůvodně zvýhodňovat ani znevýhodňovat a musí šetřit jeho členská práva i oprávněné zájmy</w:t>
      </w:r>
      <w:r>
        <w:t xml:space="preserve">. </w:t>
      </w:r>
    </w:p>
    <w:p w14:paraId="67595511" w14:textId="77777777" w:rsidR="00CA220E" w:rsidRDefault="00000000">
      <w:pPr>
        <w:numPr>
          <w:ilvl w:val="0"/>
          <w:numId w:val="10"/>
        </w:numPr>
        <w:spacing w:after="148"/>
        <w:ind w:right="0" w:hanging="637"/>
      </w:pPr>
      <w:r>
        <w:t xml:space="preserve">Podle § 656 písm. t) z. o. k. členská schůze rozhoduje o dalších otázkách, které zákon nebo stanovy svěřují do její působnosti. </w:t>
      </w:r>
    </w:p>
    <w:p w14:paraId="69215E77" w14:textId="77777777" w:rsidR="00CA220E" w:rsidRDefault="00000000">
      <w:pPr>
        <w:numPr>
          <w:ilvl w:val="0"/>
          <w:numId w:val="10"/>
        </w:numPr>
        <w:ind w:right="0" w:hanging="637"/>
      </w:pPr>
      <w:r>
        <w:t xml:space="preserve">Podle § 660 z. o. k. člen nemůže na členské schůzi vykonávat hlasovací právo, </w:t>
      </w:r>
    </w:p>
    <w:p w14:paraId="4031EDA5" w14:textId="77777777" w:rsidR="00CA220E" w:rsidRDefault="00000000">
      <w:pPr>
        <w:numPr>
          <w:ilvl w:val="2"/>
          <w:numId w:val="13"/>
        </w:numPr>
        <w:ind w:left="1352" w:right="0" w:hanging="358"/>
      </w:pPr>
      <w:r>
        <w:t xml:space="preserve">je-li v prodlení se splněním vkladové povinnosti k členskému vkladu, </w:t>
      </w:r>
    </w:p>
    <w:p w14:paraId="5676BACA" w14:textId="77777777" w:rsidR="00CA220E" w:rsidRDefault="00000000">
      <w:pPr>
        <w:numPr>
          <w:ilvl w:val="2"/>
          <w:numId w:val="13"/>
        </w:numPr>
        <w:ind w:left="1352" w:right="0" w:hanging="358"/>
      </w:pPr>
      <w:r>
        <w:t xml:space="preserve">rozhoduje-li členská schůze o námitkách tohoto člena proti rozhodnutí o jeho vyloučení z družstva, </w:t>
      </w:r>
    </w:p>
    <w:p w14:paraId="23E8CE25" w14:textId="77777777" w:rsidR="00CA220E" w:rsidRDefault="00000000">
      <w:pPr>
        <w:numPr>
          <w:ilvl w:val="2"/>
          <w:numId w:val="13"/>
        </w:numPr>
        <w:ind w:left="1352" w:right="0" w:hanging="358"/>
      </w:pPr>
      <w:r>
        <w:t xml:space="preserve">rozhoduje-li členská schůze o jeho odvolání z funkce člena orgánu družstva, </w:t>
      </w:r>
    </w:p>
    <w:p w14:paraId="35393776" w14:textId="77777777" w:rsidR="00CA220E" w:rsidRDefault="00000000">
      <w:pPr>
        <w:numPr>
          <w:ilvl w:val="2"/>
          <w:numId w:val="13"/>
        </w:numPr>
        <w:ind w:left="1352" w:right="0" w:hanging="358"/>
      </w:pPr>
      <w:r>
        <w:t xml:space="preserve">rozhoduje-li členská schůze o schválení poskytnutí finanční asistence ve vztahu k němu, nebo </w:t>
      </w:r>
    </w:p>
    <w:p w14:paraId="6F11716C" w14:textId="77777777" w:rsidR="00CA220E" w:rsidRDefault="00000000">
      <w:pPr>
        <w:numPr>
          <w:ilvl w:val="2"/>
          <w:numId w:val="13"/>
        </w:numPr>
        <w:ind w:left="1352" w:right="0" w:hanging="358"/>
      </w:pPr>
      <w:r>
        <w:t xml:space="preserve">z jiného důležitého důvodu určeného ve stanovách. </w:t>
      </w:r>
    </w:p>
    <w:p w14:paraId="0B3927FC" w14:textId="77777777" w:rsidR="00CA220E" w:rsidRDefault="00000000">
      <w:pPr>
        <w:numPr>
          <w:ilvl w:val="0"/>
          <w:numId w:val="10"/>
        </w:numPr>
        <w:ind w:right="0" w:hanging="637"/>
      </w:pPr>
      <w:r>
        <w:t xml:space="preserve">Podle § 663 odst. 1, 2 a 5 z. o. k.: </w:t>
      </w:r>
    </w:p>
    <w:p w14:paraId="2ABFA9D1" w14:textId="77777777" w:rsidR="00CA220E" w:rsidRDefault="00000000">
      <w:pPr>
        <w:numPr>
          <w:ilvl w:val="2"/>
          <w:numId w:val="12"/>
        </w:numPr>
        <w:ind w:left="1352" w:right="0" w:hanging="358"/>
      </w:pPr>
      <w:r>
        <w:t xml:space="preserve">Každý člen družstva, člen představenstva nebo kontrolní komise nebo likvidátor se mohou dovolávat neplatnosti usnesení členské schůze podle ustanovení občanského zákoníku o neplatnosti usnesení členské schůze spolku pro rozpor s právními předpisy nebo stanovami. </w:t>
      </w:r>
      <w:r w:rsidRPr="00EA5A99">
        <w:rPr>
          <w:b/>
          <w:bCs/>
        </w:rPr>
        <w:t>Bylo-li rozhodnuto mimo členskou schůzi</w:t>
      </w:r>
      <w:r>
        <w:t xml:space="preserve">, právo podat návrh zanikne uplynutím 3 měsíců ode dne, kdy se navrhovatel dozvěděl nebo mohl dozvědět o přijetí rozhodnutí podle § 652 až 655. </w:t>
      </w:r>
    </w:p>
    <w:p w14:paraId="15E28468" w14:textId="77777777" w:rsidR="00CA220E" w:rsidRDefault="00000000">
      <w:pPr>
        <w:numPr>
          <w:ilvl w:val="2"/>
          <w:numId w:val="12"/>
        </w:numPr>
        <w:ind w:left="1352" w:right="0" w:hanging="358"/>
      </w:pPr>
      <w:r>
        <w:lastRenderedPageBreak/>
        <w:t xml:space="preserve">Nebylo-li právo podle odstavce 1 uplatněno v zákonné lhůtě, případně nebylo-li návrhu na vyslovení neplatnosti vyhověno, nelze platnost usnesení členské schůze již přezkoumávat, ledaže jiný právní předpis stanoví jinak. </w:t>
      </w:r>
    </w:p>
    <w:p w14:paraId="2DFE3637" w14:textId="77777777" w:rsidR="00CA220E" w:rsidRDefault="00000000">
      <w:pPr>
        <w:ind w:left="994" w:right="0" w:firstLine="0"/>
      </w:pPr>
      <w:r>
        <w:t>(5)</w:t>
      </w:r>
      <w:r>
        <w:rPr>
          <w:rFonts w:ascii="Arial" w:eastAsia="Arial" w:hAnsi="Arial" w:cs="Arial"/>
        </w:rPr>
        <w:t xml:space="preserve"> </w:t>
      </w:r>
      <w:r>
        <w:t xml:space="preserve">Důvodem neplatnosti usnesení členské schůze je i jeho rozpor s dobrými mravy. </w:t>
      </w:r>
    </w:p>
    <w:p w14:paraId="0C72AACF" w14:textId="77777777" w:rsidR="00CA220E" w:rsidRDefault="00000000">
      <w:pPr>
        <w:numPr>
          <w:ilvl w:val="0"/>
          <w:numId w:val="10"/>
        </w:numPr>
        <w:ind w:right="0" w:hanging="637"/>
      </w:pPr>
      <w:r>
        <w:t xml:space="preserve">Podle § 706 z. o. k.: </w:t>
      </w:r>
    </w:p>
    <w:p w14:paraId="260F7DF9" w14:textId="77777777" w:rsidR="00CA220E" w:rsidRDefault="00000000">
      <w:pPr>
        <w:numPr>
          <w:ilvl w:val="2"/>
          <w:numId w:val="14"/>
        </w:numPr>
        <w:ind w:left="1352" w:right="0" w:hanging="358"/>
      </w:pPr>
      <w:r>
        <w:t xml:space="preserve">Představenstvu přísluší obchodní vedení družstva. </w:t>
      </w:r>
    </w:p>
    <w:p w14:paraId="3B608AD4" w14:textId="77777777" w:rsidR="00CA220E" w:rsidRPr="006E1BB9" w:rsidRDefault="00000000">
      <w:pPr>
        <w:numPr>
          <w:ilvl w:val="2"/>
          <w:numId w:val="14"/>
        </w:numPr>
        <w:spacing w:after="360"/>
        <w:ind w:left="1352" w:right="0" w:hanging="358"/>
        <w:rPr>
          <w:b/>
          <w:bCs/>
          <w:color w:val="EE0000"/>
        </w:rPr>
      </w:pPr>
      <w:r w:rsidRPr="006E1BB9">
        <w:rPr>
          <w:b/>
          <w:bCs/>
          <w:color w:val="EE0000"/>
        </w:rPr>
        <w:t xml:space="preserve">Představenstvo plní usnesení členské schůze, není-li v rozporu s právními předpisy. </w:t>
      </w:r>
    </w:p>
    <w:p w14:paraId="01BACAE6" w14:textId="77777777" w:rsidR="00CA220E" w:rsidRDefault="00000000">
      <w:pPr>
        <w:spacing w:after="229" w:line="260" w:lineRule="auto"/>
        <w:ind w:left="646" w:right="0" w:hanging="10"/>
        <w:jc w:val="center"/>
      </w:pPr>
      <w:r>
        <w:rPr>
          <w:b/>
        </w:rPr>
        <w:t>IV.</w:t>
      </w:r>
      <w:r>
        <w:rPr>
          <w:rFonts w:ascii="Arial" w:eastAsia="Arial" w:hAnsi="Arial" w:cs="Arial"/>
          <w:b/>
        </w:rPr>
        <w:t xml:space="preserve"> </w:t>
      </w:r>
      <w:r>
        <w:rPr>
          <w:b/>
        </w:rPr>
        <w:t xml:space="preserve">Právní posouzení věci </w:t>
      </w:r>
    </w:p>
    <w:p w14:paraId="760691E6" w14:textId="77777777" w:rsidR="00CA220E" w:rsidRDefault="00000000">
      <w:pPr>
        <w:numPr>
          <w:ilvl w:val="1"/>
          <w:numId w:val="10"/>
        </w:numPr>
        <w:spacing w:after="124"/>
        <w:ind w:right="0" w:firstLine="0"/>
      </w:pPr>
      <w:r>
        <w:rPr>
          <w:i/>
        </w:rPr>
        <w:t xml:space="preserve">Obecné (formální) předpoklady aktivní legitimace navrhovatele </w:t>
      </w:r>
    </w:p>
    <w:p w14:paraId="7518152C" w14:textId="77777777" w:rsidR="00CA220E" w:rsidRDefault="00000000">
      <w:pPr>
        <w:numPr>
          <w:ilvl w:val="0"/>
          <w:numId w:val="10"/>
        </w:numPr>
        <w:ind w:right="0" w:hanging="637"/>
      </w:pPr>
      <w:r>
        <w:t xml:space="preserve">Aby bylo možné přistoupit k věcnému (materiálnímu) přezkumu navrhovatelem tvrzených vad napadených usnesení, musel se Krajský soud v Brně zabývat nejprve tím, zda navrhovatel splňuje obecné (formální) předpoklady aktivní legitimace k podání návrhu na vyslovení neplatnosti napadených usnesení. </w:t>
      </w:r>
    </w:p>
    <w:p w14:paraId="37F12A0D" w14:textId="77777777" w:rsidR="00CA220E" w:rsidRDefault="00000000">
      <w:pPr>
        <w:numPr>
          <w:ilvl w:val="0"/>
          <w:numId w:val="10"/>
        </w:numPr>
        <w:ind w:right="0" w:hanging="637"/>
      </w:pPr>
      <w:r>
        <w:t xml:space="preserve">Navrhovatel podal návrh na zahájení řízení jako člen (předseda) představenstva družstva. Členská schůze družstva navrhovatele 4. 6. 2024 odvolala z funkce člena představenstva (dále jen </w:t>
      </w:r>
      <w:r>
        <w:rPr>
          <w:i/>
        </w:rPr>
        <w:t>„usnesení členské schůze o odvolání navrhovatele z funkce člena představenstva“</w:t>
      </w:r>
      <w:r>
        <w:t xml:space="preserve">). Platnost usnesení členské schůze o svém odvolání z funkce člena představenstva navrhovatel napadl (a zpochybnil) – samostatným – návrhem na zahájení řízení, který je u Krajského soudu v Brně projednáván pod </w:t>
      </w:r>
      <w:proofErr w:type="spellStart"/>
      <w:r>
        <w:t>sp</w:t>
      </w:r>
      <w:proofErr w:type="spellEnd"/>
      <w:r>
        <w:t xml:space="preserve">. zn. 50 Cm 148/2024. Ke dni vyhlášení tohoto usnesení (č. j. 62 Cm 18/2024-793) nebylo řízení vedené u Krajského soudu v Brně pod </w:t>
      </w:r>
      <w:proofErr w:type="spellStart"/>
      <w:r>
        <w:t>sp</w:t>
      </w:r>
      <w:proofErr w:type="spellEnd"/>
      <w:r>
        <w:t>. zn. 50 Cm 148/2024 (pravomocně) skončeno. Za situace, kdy nebyla neplatnost usnesení členské schůze o odvolání navrhovatele z funkce člena představenstva (pravomocně) vyslovena, tak Krajský soud v Brně vycházel v projednávané věci (</w:t>
      </w:r>
      <w:proofErr w:type="spellStart"/>
      <w:r>
        <w:t>sp</w:t>
      </w:r>
      <w:proofErr w:type="spellEnd"/>
      <w:r>
        <w:t xml:space="preserve">. zn. 62 Cm 18/2024) z toho, že usnesení členské schůze o odvolání navrhovatele z funkce člena představenstva je platné (v poměrech družstev srov. za všechny například usnesení Nejvyššího soudu ze dne 28. 5. 2019, </w:t>
      </w:r>
      <w:proofErr w:type="spellStart"/>
      <w:r>
        <w:t>sp</w:t>
      </w:r>
      <w:proofErr w:type="spellEnd"/>
      <w:r>
        <w:t xml:space="preserve">. zn. 27 </w:t>
      </w:r>
      <w:proofErr w:type="spellStart"/>
      <w:r>
        <w:t>Cdo</w:t>
      </w:r>
      <w:proofErr w:type="spellEnd"/>
      <w:r>
        <w:t xml:space="preserve"> 3796/2017, odst. 28 a 29), a tedy že navrhovatel členem (resp. předsedou) představenstva družstva není. </w:t>
      </w:r>
    </w:p>
    <w:p w14:paraId="39E7124F" w14:textId="77777777" w:rsidR="00CA220E" w:rsidRDefault="00000000">
      <w:pPr>
        <w:numPr>
          <w:ilvl w:val="0"/>
          <w:numId w:val="10"/>
        </w:numPr>
        <w:ind w:right="0" w:hanging="637"/>
      </w:pPr>
      <w:r>
        <w:t xml:space="preserve">I po přijetí usnesení členské schůze o odvolání navrhovatele z funkce člena představenstva však </w:t>
      </w:r>
      <w:r>
        <w:rPr>
          <w:b/>
        </w:rPr>
        <w:t>navrhovatel</w:t>
      </w:r>
      <w:r>
        <w:t xml:space="preserve"> (nadále) zůstal (řadovým) </w:t>
      </w:r>
      <w:r>
        <w:rPr>
          <w:b/>
        </w:rPr>
        <w:t>členem družstva</w:t>
      </w:r>
      <w:r>
        <w:t>, o čemž v průběhu řízení vedeného v projednávané věci (</w:t>
      </w:r>
      <w:proofErr w:type="spellStart"/>
      <w:r>
        <w:t>sp</w:t>
      </w:r>
      <w:proofErr w:type="spellEnd"/>
      <w:r>
        <w:t>. zn. 62 Cm 18/2024) nepanovalo pochyb (družstvo tuto skutečnost nijak nezpochybňovalo). Právo dovolávat se neplatnosti usnesení členské schůze přitom (podle § 663 odst. 1 věty první z. o. k.) nenáleží jen členovi představenstva, ale i každému (řadovému) členovi družstva. Ačkoli tak navrhovatel podal návrh na zahájení řízení jako člen (předseda) představenstva družstva, přičemž byl z funkce člena představenstva v průběhu řízení vedeného v projednávané věci (</w:t>
      </w:r>
      <w:proofErr w:type="spellStart"/>
      <w:r>
        <w:t>sp</w:t>
      </w:r>
      <w:proofErr w:type="spellEnd"/>
      <w:r>
        <w:t xml:space="preserve">. zn. 62 Cm 18/2024) odvolán, vycházel Krajský soud v Brně z toho, že navrhovatel se mohl neplatnosti napadených usnesení dovolávat, neboť pod celou dobu řízení vedeného v projednávané věci byl (řadovým) členem družstva ve smyslu § 663 odst. 1 věty první z. o. k. </w:t>
      </w:r>
    </w:p>
    <w:p w14:paraId="70B63584" w14:textId="77777777" w:rsidR="00CA220E" w:rsidRDefault="00000000">
      <w:pPr>
        <w:numPr>
          <w:ilvl w:val="0"/>
          <w:numId w:val="10"/>
        </w:numPr>
        <w:ind w:right="0" w:hanging="637"/>
      </w:pPr>
      <w:r>
        <w:t xml:space="preserve">Návrhem na zahájení řízení, který byl Krajskému soudu v Brně doručen 13. 3. 2024, se přitom navrhovatel dovolával neplatnosti napadených usnesení, jež členská schůze přijala 1. 2. 2024. </w:t>
      </w:r>
      <w:r>
        <w:rPr>
          <w:b/>
        </w:rPr>
        <w:t>Navrhovatel</w:t>
      </w:r>
      <w:r>
        <w:t xml:space="preserve"> tak </w:t>
      </w:r>
      <w:r>
        <w:rPr>
          <w:b/>
        </w:rPr>
        <w:t xml:space="preserve">podal návrh na zahájení řízení v 3měsíční </w:t>
      </w:r>
      <w:r>
        <w:t>(prekluzivní)</w:t>
      </w:r>
      <w:r>
        <w:rPr>
          <w:b/>
        </w:rPr>
        <w:t xml:space="preserve"> lhůtě</w:t>
      </w:r>
      <w:r>
        <w:t xml:space="preserve"> stanovené § 663 odst. 1 věty druhé z. o. k. </w:t>
      </w:r>
    </w:p>
    <w:p w14:paraId="192FFA79" w14:textId="77777777" w:rsidR="00CA220E" w:rsidRDefault="00000000">
      <w:pPr>
        <w:numPr>
          <w:ilvl w:val="0"/>
          <w:numId w:val="10"/>
        </w:numPr>
        <w:ind w:right="0" w:hanging="637"/>
      </w:pPr>
      <w:r>
        <w:lastRenderedPageBreak/>
        <w:t xml:space="preserve">Podle článku 19 odst. 14 stanov může člen družstva podat soudu návrh na vyslovení neplatnosti usnesení členské schůze, jestliže na členské schůzi požádal o zaprotokolování námitky nebo jestli námitku oznámí představenstvu družstva do 1 měsíce od konání členské schůze; a sice s tím, že návrh lze podat soudu do jednoho měsíce ode dne, kdy člen požádal o zaprotokolování námitky nebo od oznámí námitky představenstvu. Již v rozsudku ze dne 15. 4. 2020, </w:t>
      </w:r>
      <w:proofErr w:type="spellStart"/>
      <w:r>
        <w:t>sp</w:t>
      </w:r>
      <w:proofErr w:type="spellEnd"/>
      <w:r>
        <w:t xml:space="preserve">. zn. 27 </w:t>
      </w:r>
      <w:proofErr w:type="spellStart"/>
      <w:r>
        <w:t>Cdo</w:t>
      </w:r>
      <w:proofErr w:type="spellEnd"/>
      <w:r>
        <w:t xml:space="preserve"> 2708/2018 (odst. 28), však Nejvyšší soud – v poměrech společnosti s ručením omezeným – klasifikoval právo domáhat se přezkumu neplatnosti usnesení valné hromady jako právo, které společníkům nelze zakladatelským právním jednáním odejmout. Tyto </w:t>
      </w:r>
    </w:p>
    <w:p w14:paraId="60A8AEA0" w14:textId="77777777" w:rsidR="00CA220E" w:rsidRDefault="00000000">
      <w:pPr>
        <w:ind w:left="637" w:right="0" w:firstLine="0"/>
      </w:pPr>
      <w:r>
        <w:t xml:space="preserve">závěry se podle Krajského soudu v Brně přiměřeně prosadí i v poměrech družstev. Podmiňují-li tedy stanovy družstva uplatnění návrhu na vyslovení neplatnosti usnesení členské schůze (nad rámec zákonných požadavků) podáním námitek či zkracují-li 3měsíční prekluzivní lhůtu stanovenou v § 663 odst. 1 větě druhé z. o. k., jde o ujednání zakladatelského právního jednání (stanov) družstva, které je v rozporu s donucujícím ustanovením zákonem (ujednání porušují práva týkající se postavení osob ve smyslu § 1 odst. 2 části věty za středníkem o. z.). Toto ujednání zakladatelského právního jednání (článek 19 odst. 14 stanov) tak nevyvolává zamýšlené právní účinky (ve vztahu k otázce zřízení rozhodčí komise spolku obdobně usnesení Nejvyššího soudu ze dne 29. 3. 2023, </w:t>
      </w:r>
      <w:proofErr w:type="spellStart"/>
      <w:r>
        <w:t>sp</w:t>
      </w:r>
      <w:proofErr w:type="spellEnd"/>
      <w:r>
        <w:t xml:space="preserve">. zn. 27 </w:t>
      </w:r>
      <w:proofErr w:type="spellStart"/>
      <w:r>
        <w:t>Cdo</w:t>
      </w:r>
      <w:proofErr w:type="spellEnd"/>
      <w:r>
        <w:t xml:space="preserve"> 3737/2021, uveřejněné pod číslem 4/2024 Sb. </w:t>
      </w:r>
      <w:proofErr w:type="spellStart"/>
      <w:r>
        <w:t>rozh</w:t>
      </w:r>
      <w:proofErr w:type="spellEnd"/>
      <w:r>
        <w:t xml:space="preserve">. </w:t>
      </w:r>
      <w:proofErr w:type="spellStart"/>
      <w:r>
        <w:t>obč</w:t>
      </w:r>
      <w:proofErr w:type="spellEnd"/>
      <w:r>
        <w:t xml:space="preserve">., odst. 43). Navrhovatel tedy podle Krajského soudu v Brně podal návrh na zahájení řízení včas ve smyslu 3měsíční lhůty stanovené v § 663 odst. 1 větě druhé z. o. k. Při posuzování obecných (formálních) předpokladů aktivní legitimace navrhovatele se pak Krajský soud v Brně v žádném směru nezabýval tím, zda navrhovatel na členské schůzi či do 1 měsíce od konání členské schůze podal (článkem 19 odst. 14 stanov předvídané) námitky. </w:t>
      </w:r>
    </w:p>
    <w:p w14:paraId="42401295" w14:textId="77777777" w:rsidR="00CA220E" w:rsidRDefault="00000000">
      <w:pPr>
        <w:numPr>
          <w:ilvl w:val="0"/>
          <w:numId w:val="10"/>
        </w:numPr>
        <w:ind w:right="0" w:hanging="637"/>
      </w:pPr>
      <w:r>
        <w:t xml:space="preserve">Na základě těchto úvah dospěl Krajský soud v Brně k závěru, že </w:t>
      </w:r>
      <w:r>
        <w:rPr>
          <w:b/>
        </w:rPr>
        <w:t>obecné</w:t>
      </w:r>
      <w:r>
        <w:t xml:space="preserve"> (formální) </w:t>
      </w:r>
      <w:r>
        <w:rPr>
          <w:b/>
        </w:rPr>
        <w:t>předpoklady aktivní legitimace navrhovatele</w:t>
      </w:r>
      <w:r>
        <w:t xml:space="preserve"> byly </w:t>
      </w:r>
      <w:r>
        <w:rPr>
          <w:b/>
        </w:rPr>
        <w:t>splněny</w:t>
      </w:r>
      <w:r>
        <w:t xml:space="preserve">, a proto se Krajský soud v Brně mohl zabývat věcným (materiálním) přezkum jednotlivých (navrhovatelem tvrzených) důvodů neplatnosti napadených usnesení. </w:t>
      </w:r>
    </w:p>
    <w:p w14:paraId="2F15AB88" w14:textId="77777777" w:rsidR="00CA220E" w:rsidRDefault="00000000">
      <w:pPr>
        <w:spacing w:after="124"/>
        <w:ind w:left="632" w:right="0" w:hanging="10"/>
      </w:pPr>
      <w:r>
        <w:rPr>
          <w:i/>
        </w:rPr>
        <w:t>b)</w:t>
      </w:r>
      <w:r>
        <w:rPr>
          <w:rFonts w:ascii="Arial" w:eastAsia="Arial" w:hAnsi="Arial" w:cs="Arial"/>
          <w:i/>
        </w:rPr>
        <w:t xml:space="preserve"> </w:t>
      </w:r>
      <w:r>
        <w:rPr>
          <w:i/>
        </w:rPr>
        <w:t xml:space="preserve">Věcný (materiální) přezkum tvrzených vad napadených usnesení </w:t>
      </w:r>
    </w:p>
    <w:p w14:paraId="6D624C3B" w14:textId="77777777" w:rsidR="00CA220E" w:rsidRDefault="00000000">
      <w:pPr>
        <w:numPr>
          <w:ilvl w:val="0"/>
          <w:numId w:val="10"/>
        </w:numPr>
        <w:ind w:right="0" w:hanging="637"/>
      </w:pPr>
      <w:r>
        <w:t xml:space="preserve">Před samotným věcným (materiálním) přezkumem jednotlivých (navrhovatelem tvrzených) důvodů neplatnosti napadených usnesení, je podle Krajského soudu v Brně zapotřebí zohlednit jejich širší smysl. Již z tvrzení navrhovatele, ale i z tvrzení družstva, jakož i z provedeného dokazování, je patrné, že se družstvo delší dobu (přinejmenším od roku 2018) potýká s problematikou </w:t>
      </w:r>
      <w:proofErr w:type="spellStart"/>
      <w:r>
        <w:t>předvodu</w:t>
      </w:r>
      <w:proofErr w:type="spellEnd"/>
      <w:r>
        <w:t xml:space="preserve"> garáží a garážových stání (ale i bytů), které se nacházejí v bytových domech, do (výlučného) vlastnictví jednotlivých členů družstva. Jestliže tedy byly na program členské schůze, která se konala 1. 2. 2024, zařazeny body </w:t>
      </w:r>
      <w:r>
        <w:rPr>
          <w:i/>
        </w:rPr>
        <w:t>„3) Schválení převodu G, GS do osobního vlastnictví“</w:t>
      </w:r>
      <w:r>
        <w:t xml:space="preserve"> a </w:t>
      </w:r>
      <w:r>
        <w:rPr>
          <w:i/>
        </w:rPr>
        <w:t>„4) Stanovení ceny příspěvku na provoz a správu G, GS“</w:t>
      </w:r>
      <w:r>
        <w:t xml:space="preserve">, </w:t>
      </w:r>
      <w:r w:rsidRPr="006E1BB9">
        <w:rPr>
          <w:b/>
          <w:bCs/>
          <w:color w:val="EE0000"/>
        </w:rPr>
        <w:t xml:space="preserve">šlo bezesporu o snahu dlouhotrvající problematické vztahy rigorózněji uchopit </w:t>
      </w:r>
      <w:r w:rsidRPr="006E1BB9">
        <w:rPr>
          <w:b/>
          <w:bCs/>
          <w:color w:val="EE0000"/>
          <w:highlight w:val="cyan"/>
          <w:u w:val="single"/>
        </w:rPr>
        <w:t>a se souhlasem členské schůze započít s jejich narovnáváním</w:t>
      </w:r>
      <w:r w:rsidRPr="006E1BB9">
        <w:rPr>
          <w:color w:val="EE0000"/>
        </w:rPr>
        <w:t xml:space="preserve">. </w:t>
      </w:r>
      <w:r>
        <w:t xml:space="preserve">V tomto širším kontextu je třeba na napadená usnesení nahlížet, vnímat jejich obsah, ale i celkové kontury sporných vztahů. </w:t>
      </w:r>
      <w:r w:rsidRPr="00905278">
        <w:rPr>
          <w:b/>
          <w:bCs/>
        </w:rPr>
        <w:t xml:space="preserve">K tomu ostatně po celou dobu řízení vybízel i navrhovatel, který na širší souvislosti vzniku sporných vztahů opakovaně poukazoval a zevrubně je popisoval. </w:t>
      </w:r>
    </w:p>
    <w:p w14:paraId="6F136CBD" w14:textId="77777777" w:rsidR="00CA220E" w:rsidRDefault="00000000">
      <w:pPr>
        <w:numPr>
          <w:ilvl w:val="0"/>
          <w:numId w:val="10"/>
        </w:numPr>
        <w:ind w:right="0" w:hanging="637"/>
      </w:pPr>
      <w:r>
        <w:rPr>
          <w:b/>
        </w:rPr>
        <w:t>Působnost členské schůze</w:t>
      </w:r>
      <w:r>
        <w:t xml:space="preserve"> k přijetí napadených usnesení je přitom zapotřebí dovozovat z § 656 písm. t) z. o. k. ve spojení s článkem 19 odst. 4 písm. k), m) a n) stanov (eventuálně s článkem 19 odst. 5 stanov). Podle těchto ustanovení do působnosti členské schůze družstva patří jednak schvalovat hospodaření s majetkem družstva, jednak rozhodovat o zcizení majetku družstva včetně uzavírání dohod o smlouvách budoucích a jednak rozhodovat o dalších pronájmech bytových a </w:t>
      </w:r>
      <w:r>
        <w:lastRenderedPageBreak/>
        <w:t xml:space="preserve">nebytových prostor (případně se členské schůzi umožňuje vyhradit si i rozhodování o dalších otázkách). Napadená usnesení jsou rozhodnutími, která se dotýkají hospodaření s majetkem družstva, </w:t>
      </w:r>
      <w:r w:rsidRPr="00905278">
        <w:rPr>
          <w:b/>
          <w:bCs/>
        </w:rPr>
        <w:t>lépe řečeno rozhodnutími o zcizení majetku družstva, resp. rozhodnutími o (podmínkách) pronájmu nebytových prostor</w:t>
      </w:r>
      <w:r w:rsidRPr="0079122B">
        <w:rPr>
          <w:b/>
          <w:bCs/>
          <w:color w:val="EE0000"/>
        </w:rPr>
        <w:t>. Proto jejich přijetí spadalo do působnosti členské schůze.</w:t>
      </w:r>
      <w:r>
        <w:t xml:space="preserve"> Z toho vyplývá, že napadená usnesení nebyla přijata v záležitostech, které by členská schůze neměla působnost rozhodovat ve smyslu § 245 o. z. ve spojení s § 45 odst. 1 z. o. k., a že se tudíž nejedná o usnesení, na která by se hledělo, jako by nebyla přijata. </w:t>
      </w:r>
    </w:p>
    <w:p w14:paraId="66B285CD" w14:textId="77777777" w:rsidR="0079122B" w:rsidRDefault="00000000">
      <w:pPr>
        <w:numPr>
          <w:ilvl w:val="0"/>
          <w:numId w:val="10"/>
        </w:numPr>
        <w:ind w:right="0" w:hanging="637"/>
      </w:pPr>
      <w:r>
        <w:t xml:space="preserve">Na tomto závěru nic nemění ani námitka navrhovatele, podle níž družstvo není výlučným vlastníkem bytových domů (a tedy ani garáží a garážových stání, jež jsou v bytových domech situovány), a tak členské schůzi nemělo náležet o věci rozhodovat. </w:t>
      </w:r>
      <w:r w:rsidRPr="00905278">
        <w:rPr>
          <w:b/>
          <w:bCs/>
        </w:rPr>
        <w:t xml:space="preserve">Již totiž bylo řečeno, že v širším kontextu je třeba na napadená usnesení nahlížet jako </w:t>
      </w:r>
      <w:r w:rsidRPr="0079122B">
        <w:rPr>
          <w:b/>
          <w:bCs/>
          <w:color w:val="EE0000"/>
          <w:highlight w:val="yellow"/>
        </w:rPr>
        <w:t>na snahu započít s narovnáváním problematických vztahů uvnitř družstva</w:t>
      </w:r>
      <w:r w:rsidRPr="0079122B">
        <w:rPr>
          <w:highlight w:val="yellow"/>
        </w:rPr>
        <w:t>;</w:t>
      </w:r>
      <w:r>
        <w:t xml:space="preserve"> v užším slova smyslu pak jako na snahu </w:t>
      </w:r>
      <w:r w:rsidRPr="0079122B">
        <w:rPr>
          <w:b/>
          <w:bCs/>
          <w:color w:val="EE0000"/>
          <w:highlight w:val="yellow"/>
        </w:rPr>
        <w:t>započít s narovnáváním problematických vztahů souvisejících s převodem a užíváním garáží a garážových stání</w:t>
      </w:r>
      <w:r>
        <w:t xml:space="preserve">. </w:t>
      </w:r>
    </w:p>
    <w:p w14:paraId="1BDD1B43" w14:textId="77777777" w:rsidR="0079122B" w:rsidRDefault="00000000" w:rsidP="000F48D7">
      <w:pPr>
        <w:pBdr>
          <w:top w:val="single" w:sz="4" w:space="1" w:color="auto"/>
          <w:left w:val="single" w:sz="4" w:space="4" w:color="auto"/>
          <w:bottom w:val="single" w:sz="4" w:space="1" w:color="auto"/>
          <w:right w:val="single" w:sz="4" w:space="4" w:color="auto"/>
        </w:pBdr>
        <w:ind w:left="637" w:right="0" w:firstLine="0"/>
      </w:pPr>
      <w:r w:rsidRPr="0079122B">
        <w:rPr>
          <w:b/>
          <w:bCs/>
          <w:color w:val="EE0000"/>
          <w:highlight w:val="cyan"/>
        </w:rPr>
        <w:t>Přijetím napadených usnesení přitom nedošlo (a ani dojít nemohlo) k převodu vlastnického práva ke garážím či garážovým stáním</w:t>
      </w:r>
      <w:r>
        <w:t xml:space="preserve">. </w:t>
      </w:r>
    </w:p>
    <w:p w14:paraId="580D1F6D" w14:textId="77777777" w:rsidR="000F48D7" w:rsidRDefault="00000000" w:rsidP="0079122B">
      <w:pPr>
        <w:ind w:left="637" w:right="0" w:firstLine="0"/>
      </w:pPr>
      <w:r w:rsidRPr="000F48D7">
        <w:rPr>
          <w:b/>
          <w:bCs/>
          <w:color w:val="EE0000"/>
          <w:bdr w:val="single" w:sz="4" w:space="0" w:color="auto"/>
        </w:rPr>
        <w:t xml:space="preserve">Ke skutečné (konečné) realizaci převodu garáží a garážových stání by byla zapotřebí další </w:t>
      </w:r>
      <w:r w:rsidRPr="000F48D7">
        <w:rPr>
          <w:b/>
          <w:bCs/>
          <w:color w:val="EE0000"/>
          <w:highlight w:val="yellow"/>
          <w:bdr w:val="single" w:sz="4" w:space="0" w:color="auto"/>
        </w:rPr>
        <w:t>(navazující) právní jednání</w:t>
      </w:r>
      <w:r w:rsidRPr="000F48D7">
        <w:rPr>
          <w:b/>
          <w:bCs/>
          <w:color w:val="EE0000"/>
          <w:bdr w:val="single" w:sz="4" w:space="0" w:color="auto"/>
        </w:rPr>
        <w:t xml:space="preserve">, která by dala vzniknout </w:t>
      </w:r>
      <w:r w:rsidRPr="000F48D7">
        <w:rPr>
          <w:b/>
          <w:bCs/>
          <w:i/>
          <w:color w:val="EE0000"/>
          <w:highlight w:val="yellow"/>
          <w:bdr w:val="single" w:sz="4" w:space="0" w:color="auto"/>
        </w:rPr>
        <w:t>právnímu titulu</w:t>
      </w:r>
      <w:r w:rsidRPr="000F48D7">
        <w:rPr>
          <w:b/>
          <w:bCs/>
          <w:color w:val="EE0000"/>
          <w:bdr w:val="single" w:sz="4" w:space="0" w:color="auto"/>
        </w:rPr>
        <w:t xml:space="preserve"> nabytí vlastnického práva</w:t>
      </w:r>
      <w:r>
        <w:t xml:space="preserve">. </w:t>
      </w:r>
    </w:p>
    <w:p w14:paraId="4B9CC4EB" w14:textId="77777777" w:rsidR="000F48D7" w:rsidRDefault="00000000" w:rsidP="000F48D7">
      <w:pPr>
        <w:ind w:left="637" w:right="0" w:firstLine="0"/>
      </w:pPr>
      <w:r>
        <w:t xml:space="preserve">Toho si byla členská schůze dobře vědoma, neboť představenstvu (druhou větou napadeného usnesení č. 1) uložila </w:t>
      </w:r>
      <w:r>
        <w:rPr>
          <w:i/>
        </w:rPr>
        <w:t>„zajistit vypracování prohlášení vlastníků, které umožní realizaci převodu“</w:t>
      </w:r>
      <w:r>
        <w:t xml:space="preserve">. </w:t>
      </w:r>
      <w:r w:rsidRPr="00905278">
        <w:rPr>
          <w:b/>
          <w:bCs/>
        </w:rPr>
        <w:t xml:space="preserve">Stejně tak nedošlo </w:t>
      </w:r>
      <w:r w:rsidRPr="00905278">
        <w:rPr>
          <w:b/>
          <w:bCs/>
          <w:sz w:val="26"/>
        </w:rPr>
        <w:t>(</w:t>
      </w:r>
      <w:r w:rsidRPr="00905278">
        <w:rPr>
          <w:b/>
          <w:bCs/>
        </w:rPr>
        <w:t>a ani dojít nemohlo) ke změně výše příspěvku na provoz a správu garáží a garážových stání.</w:t>
      </w:r>
      <w:r>
        <w:t xml:space="preserve"> </w:t>
      </w:r>
    </w:p>
    <w:p w14:paraId="5B5F517D" w14:textId="126BC622" w:rsidR="0079122B" w:rsidRPr="000F48D7" w:rsidRDefault="00000000" w:rsidP="000F48D7">
      <w:pPr>
        <w:ind w:left="637" w:right="0" w:firstLine="0"/>
        <w:rPr>
          <w:b/>
          <w:bCs/>
          <w:color w:val="EE0000"/>
        </w:rPr>
      </w:pPr>
      <w:r>
        <w:t xml:space="preserve">S argumentací družstva lze totiž souhlasit v tom, </w:t>
      </w:r>
      <w:r w:rsidRPr="00905278">
        <w:rPr>
          <w:b/>
          <w:bCs/>
          <w:color w:val="EE0000"/>
        </w:rPr>
        <w:t xml:space="preserve">že garáže a garážová stání v poměrech projednávané </w:t>
      </w:r>
      <w:r w:rsidRPr="0079122B">
        <w:rPr>
          <w:b/>
          <w:bCs/>
          <w:color w:val="EE0000"/>
          <w:highlight w:val="yellow"/>
        </w:rPr>
        <w:t xml:space="preserve">věci </w:t>
      </w:r>
      <w:r w:rsidRPr="000F48D7">
        <w:rPr>
          <w:b/>
          <w:bCs/>
          <w:color w:val="EE0000"/>
          <w:highlight w:val="yellow"/>
          <w:bdr w:val="single" w:sz="4" w:space="0" w:color="auto"/>
        </w:rPr>
        <w:t>nejsou družstevním bytem ve smyslu § 729 odst. 1 z. o. k</w:t>
      </w:r>
      <w:r w:rsidRPr="000F48D7">
        <w:rPr>
          <w:highlight w:val="yellow"/>
          <w:bdr w:val="single" w:sz="4" w:space="0" w:color="auto"/>
        </w:rPr>
        <w:t>.</w:t>
      </w:r>
      <w:r w:rsidRPr="0079122B">
        <w:rPr>
          <w:highlight w:val="yellow"/>
        </w:rPr>
        <w:t xml:space="preserve"> </w:t>
      </w:r>
    </w:p>
    <w:p w14:paraId="72F53024" w14:textId="77777777" w:rsidR="000F48D7" w:rsidRDefault="00000000" w:rsidP="0079122B">
      <w:pPr>
        <w:ind w:left="637" w:right="0" w:firstLine="0"/>
      </w:pPr>
      <w:r w:rsidRPr="0079122B">
        <w:rPr>
          <w:highlight w:val="yellow"/>
        </w:rPr>
        <w:t>Je</w:t>
      </w:r>
      <w:r>
        <w:t xml:space="preserve"> tomu tak proto, že právo garážníků k dočasnému užívání garáží a garážových stání mělo být založeno (</w:t>
      </w:r>
      <w:r w:rsidRPr="00905278">
        <w:rPr>
          <w:b/>
          <w:bCs/>
        </w:rPr>
        <w:t>ať již platnými, či podle navrhovatele neplatnými</w:t>
      </w:r>
      <w:r>
        <w:t xml:space="preserve">) nájemními smlouvami, </w:t>
      </w:r>
    </w:p>
    <w:p w14:paraId="4388D363" w14:textId="77777777" w:rsidR="000F48D7" w:rsidRDefault="00000000" w:rsidP="000F48D7">
      <w:pPr>
        <w:pBdr>
          <w:top w:val="single" w:sz="4" w:space="1" w:color="auto"/>
          <w:left w:val="single" w:sz="4" w:space="4" w:color="auto"/>
          <w:bottom w:val="single" w:sz="4" w:space="1" w:color="auto"/>
          <w:right w:val="single" w:sz="4" w:space="4" w:color="auto"/>
        </w:pBdr>
        <w:ind w:left="637" w:right="0" w:firstLine="0"/>
      </w:pPr>
      <w:r w:rsidRPr="00905278">
        <w:rPr>
          <w:b/>
          <w:bCs/>
          <w:color w:val="EE0000"/>
        </w:rPr>
        <w:t>které však nejsou spojeny s družstevními podíly</w:t>
      </w:r>
      <w:r>
        <w:t xml:space="preserve">. </w:t>
      </w:r>
    </w:p>
    <w:p w14:paraId="573F91DC" w14:textId="4344DAC0" w:rsidR="00CA220E" w:rsidRDefault="00000000" w:rsidP="0079122B">
      <w:pPr>
        <w:ind w:left="637" w:right="0" w:firstLine="0"/>
      </w:pPr>
      <w:r w:rsidRPr="00905278">
        <w:rPr>
          <w:b/>
          <w:bCs/>
        </w:rPr>
        <w:t xml:space="preserve">Pokud by totiž právo nájmu garáží a garážových stání mělo být spojeno s družstevním podílem, </w:t>
      </w:r>
      <w:r w:rsidRPr="00905278">
        <w:rPr>
          <w:b/>
          <w:bCs/>
          <w:color w:val="EE0000"/>
        </w:rPr>
        <w:t>musely by stanovy družstva obsahovat podmínky, za který členovi družstva vznikne právo na uzavření nájemní smlouvy ke garáži či garážovému stání, jak to určuje § 731 odst. 1 písm. a) z. o. k</w:t>
      </w:r>
      <w:r w:rsidRPr="00905278">
        <w:rPr>
          <w:b/>
          <w:bCs/>
        </w:rPr>
        <w:t>.</w:t>
      </w:r>
      <w:r>
        <w:t xml:space="preserve"> Tuto úpravu však stanovy – na rozdíl od úpravy podmínek vzniku práva na uzavření smlouvy o nájmu bytu (</w:t>
      </w:r>
      <w:r w:rsidRPr="00905278">
        <w:rPr>
          <w:b/>
          <w:bCs/>
          <w:highlight w:val="cyan"/>
        </w:rPr>
        <w:t>viz článek 19 stanov, ale například i článek 5 odst. 2 stanov)</w:t>
      </w:r>
      <w:r>
        <w:t xml:space="preserve"> – neobsahují. Případný nájemní vztah garážníků tak </w:t>
      </w:r>
      <w:r w:rsidRPr="00905278">
        <w:rPr>
          <w:b/>
          <w:bCs/>
        </w:rPr>
        <w:t xml:space="preserve">není spojen s právy a povinnostmi garážníků, </w:t>
      </w:r>
      <w:r w:rsidRPr="00905278">
        <w:rPr>
          <w:b/>
          <w:bCs/>
          <w:color w:val="EE0000"/>
        </w:rPr>
        <w:t>které vyplývají z jejich (majetkové) účasti v družstvu (ve smyslu § 31 z. o. k.</w:t>
      </w:r>
      <w:r w:rsidRPr="00905278">
        <w:rPr>
          <w:b/>
          <w:bCs/>
        </w:rPr>
        <w:t>)</w:t>
      </w:r>
      <w:r>
        <w:t xml:space="preserve">. I pro to, aby došlo ke změně výše příspěvku na náklady na provoz a správu garáží a garážových stání, </w:t>
      </w:r>
      <w:r w:rsidRPr="00905278">
        <w:rPr>
          <w:b/>
          <w:bCs/>
          <w:color w:val="EE0000"/>
        </w:rPr>
        <w:t xml:space="preserve">by tak byla zapotřebí další (navazující) právní jednání, které by (pravděpodobně dohodou stran nájemních smluv) </w:t>
      </w:r>
      <w:r w:rsidRPr="00905278">
        <w:rPr>
          <w:b/>
          <w:bCs/>
          <w:color w:val="EE0000"/>
          <w:highlight w:val="cyan"/>
        </w:rPr>
        <w:t>měnilo dosavadní podmínky nájmů</w:t>
      </w:r>
      <w:r>
        <w:t xml:space="preserve">. </w:t>
      </w:r>
    </w:p>
    <w:p w14:paraId="3CCB80DC" w14:textId="532BC4C2" w:rsidR="00CA220E" w:rsidRDefault="00000000">
      <w:pPr>
        <w:numPr>
          <w:ilvl w:val="0"/>
          <w:numId w:val="10"/>
        </w:numPr>
        <w:ind w:right="0" w:hanging="637"/>
      </w:pPr>
      <w:r>
        <w:t xml:space="preserve">Při použití objektivní metody výkladu napadených usnesení (k užití objektivní metody výkladu usnesení kolektivních orgánů právnických osob v poměrech německého akciového práva srov. například </w:t>
      </w:r>
      <w:proofErr w:type="spellStart"/>
      <w:r>
        <w:rPr>
          <w:i/>
        </w:rPr>
        <w:t>Rieckers</w:t>
      </w:r>
      <w:proofErr w:type="spellEnd"/>
      <w:r>
        <w:t xml:space="preserve"> In: </w:t>
      </w:r>
      <w:proofErr w:type="spellStart"/>
      <w:r>
        <w:t>Spindler</w:t>
      </w:r>
      <w:proofErr w:type="spellEnd"/>
      <w:r>
        <w:t>/</w:t>
      </w:r>
      <w:proofErr w:type="spellStart"/>
      <w:r>
        <w:t>Stilz</w:t>
      </w:r>
      <w:proofErr w:type="spellEnd"/>
      <w:r>
        <w:t xml:space="preserve">, </w:t>
      </w:r>
      <w:proofErr w:type="spellStart"/>
      <w:r>
        <w:t>Aktienrecht</w:t>
      </w:r>
      <w:proofErr w:type="spellEnd"/>
      <w:r>
        <w:t xml:space="preserve">, 5. vyd., C. H. Beck, 2022, § 133, </w:t>
      </w:r>
      <w:proofErr w:type="spellStart"/>
      <w:r>
        <w:t>marg</w:t>
      </w:r>
      <w:proofErr w:type="spellEnd"/>
      <w:r>
        <w:t xml:space="preserve">. č. 5; či obecně k výkladu právního jednání, které je určeno velkému počtu nebo neurčité množině osob </w:t>
      </w:r>
      <w:r>
        <w:lastRenderedPageBreak/>
        <w:t xml:space="preserve">například </w:t>
      </w:r>
      <w:proofErr w:type="spellStart"/>
      <w:r>
        <w:rPr>
          <w:i/>
        </w:rPr>
        <w:t>Dörner</w:t>
      </w:r>
      <w:proofErr w:type="spellEnd"/>
      <w:r>
        <w:t xml:space="preserve"> In: Schulze, </w:t>
      </w:r>
      <w:proofErr w:type="spellStart"/>
      <w:r>
        <w:t>Bürgerliches</w:t>
      </w:r>
      <w:proofErr w:type="spellEnd"/>
      <w:r>
        <w:t xml:space="preserve"> </w:t>
      </w:r>
      <w:proofErr w:type="spellStart"/>
      <w:r>
        <w:t>Gesetzbuch</w:t>
      </w:r>
      <w:proofErr w:type="spellEnd"/>
      <w:r>
        <w:t xml:space="preserve">, 12. vyd., Nomos, 2024, § 133, </w:t>
      </w:r>
      <w:proofErr w:type="spellStart"/>
      <w:r>
        <w:t>marg</w:t>
      </w:r>
      <w:proofErr w:type="spellEnd"/>
      <w:r>
        <w:t>. č. 10) je tak třeba vycházet z toho</w:t>
      </w:r>
      <w:r w:rsidRPr="004012EA">
        <w:rPr>
          <w:b/>
          <w:bCs/>
        </w:rPr>
        <w:t xml:space="preserve">, </w:t>
      </w:r>
      <w:r w:rsidRPr="00103EBE">
        <w:rPr>
          <w:b/>
          <w:bCs/>
          <w:color w:val="EE0000"/>
        </w:rPr>
        <w:t xml:space="preserve">že jsou napadená usnesení formulována jako </w:t>
      </w:r>
      <w:r w:rsidRPr="00103EBE">
        <w:rPr>
          <w:b/>
          <w:bCs/>
          <w:i/>
          <w:color w:val="EE0000"/>
        </w:rPr>
        <w:t>„rámcové instrukce“</w:t>
      </w:r>
      <w:r w:rsidRPr="00103EBE">
        <w:rPr>
          <w:b/>
          <w:bCs/>
          <w:color w:val="EE0000"/>
        </w:rPr>
        <w:t>,</w:t>
      </w:r>
      <w:r w:rsidRPr="00103EBE">
        <w:rPr>
          <w:b/>
          <w:bCs/>
          <w:i/>
          <w:color w:val="EE0000"/>
        </w:rPr>
        <w:t xml:space="preserve"> „strategické pokyny“</w:t>
      </w:r>
      <w:r w:rsidRPr="00103EBE">
        <w:rPr>
          <w:i/>
          <w:color w:val="EE0000"/>
        </w:rPr>
        <w:t xml:space="preserve"> </w:t>
      </w:r>
      <w:r>
        <w:t xml:space="preserve">(ve smyslu rozsudku Nejvyššího soudu ze dne 11. 9. 2019, </w:t>
      </w:r>
      <w:proofErr w:type="spellStart"/>
      <w:r>
        <w:t>sp</w:t>
      </w:r>
      <w:proofErr w:type="spellEnd"/>
      <w:r>
        <w:t xml:space="preserve">. zn. </w:t>
      </w:r>
      <w:r w:rsidRPr="004012EA">
        <w:rPr>
          <w:b/>
          <w:bCs/>
          <w:highlight w:val="cyan"/>
        </w:rPr>
        <w:t xml:space="preserve">31 </w:t>
      </w:r>
      <w:proofErr w:type="spellStart"/>
      <w:r w:rsidRPr="004012EA">
        <w:rPr>
          <w:b/>
          <w:bCs/>
          <w:highlight w:val="cyan"/>
        </w:rPr>
        <w:t>Cdo</w:t>
      </w:r>
      <w:proofErr w:type="spellEnd"/>
      <w:r w:rsidRPr="004012EA">
        <w:rPr>
          <w:b/>
          <w:bCs/>
          <w:highlight w:val="cyan"/>
        </w:rPr>
        <w:t xml:space="preserve"> 1993/2019</w:t>
      </w:r>
      <w:r>
        <w:t xml:space="preserve">, </w:t>
      </w:r>
      <w:r w:rsidR="007535A6">
        <w:t>(</w:t>
      </w:r>
      <w:r w:rsidR="007535A6" w:rsidRPr="007535A6">
        <w:rPr>
          <w:b/>
          <w:bCs/>
          <w:i/>
          <w:iCs/>
        </w:rPr>
        <w:t>moje pozn</w:t>
      </w:r>
      <w:r w:rsidR="007535A6" w:rsidRPr="007535A6">
        <w:rPr>
          <w:i/>
          <w:iCs/>
        </w:rPr>
        <w:t>. „</w:t>
      </w:r>
      <w:r w:rsidR="007535A6" w:rsidRPr="007535A6">
        <w:rPr>
          <w:i/>
          <w:iCs/>
        </w:rPr>
        <w:t>[</w:t>
      </w:r>
      <w:r w:rsidR="007535A6" w:rsidRPr="007535A6">
        <w:rPr>
          <w:i/>
          <w:iCs/>
          <w:highlight w:val="cyan"/>
        </w:rPr>
        <w:t xml:space="preserve">28] Nejvyšší soud si je vědom toho, že pro účely zákazu udělovat představenstvu pokyny týkající se obchodního vedení společnosti (§ 194 odst. 4 in fine obch. zák., § 435 odst. 3 z. o. k.) je nutné rozlišovat mezi obchodním vedením společnosti a jejím strategickým řízením, </w:t>
      </w:r>
      <w:r w:rsidR="007535A6" w:rsidRPr="007535A6">
        <w:rPr>
          <w:b/>
          <w:bCs/>
          <w:i/>
          <w:iCs/>
          <w:highlight w:val="cyan"/>
        </w:rPr>
        <w:t>neboť uvedený zákaz se netýká tzv. strategických rozhodnutí</w:t>
      </w:r>
      <w:r w:rsidR="007535A6" w:rsidRPr="007535A6">
        <w:rPr>
          <w:i/>
          <w:iCs/>
          <w:highlight w:val="cyan"/>
        </w:rPr>
        <w:t xml:space="preserve"> (v teorii viz např. literaturu citovanou výše), nicméně pro posouzení projednávané věci není toto rozlišování právně významné. I strategické řízení totiž zásadně (</w:t>
      </w:r>
      <w:r w:rsidR="007535A6" w:rsidRPr="007535A6">
        <w:rPr>
          <w:b/>
          <w:bCs/>
          <w:i/>
          <w:iCs/>
          <w:color w:val="EE0000"/>
          <w:highlight w:val="cyan"/>
        </w:rPr>
        <w:t>nesvěří-li tuto působnost zákon či v souladu s ním zakladatelské právní jednání jinému orgánu</w:t>
      </w:r>
      <w:r w:rsidR="007535A6" w:rsidRPr="007535A6">
        <w:rPr>
          <w:i/>
          <w:iCs/>
          <w:highlight w:val="cyan"/>
        </w:rPr>
        <w:t>) spadá do působnosti představenstva akciové společnosti, což lze dovodit z úpravy působnosti jednotlivých orgánů akciové společnosti, z níž plyne, že působnost, jež není zákonem či v souladu se zákonem stanovami vyhrazena valné hromadě či dozorčí radě, náleží představenstvu (s účinností od 1. 1. 2014 tak výslovně určuje § 163 o. z.). I pro strategické řízení tudíž platí, že je člen představenstva nevykonává (nemůže vykonávat) v pracovněprávním poměru (viz výklad podaný níže</w:t>
      </w:r>
      <w:r w:rsidR="007535A6" w:rsidRPr="007535A6">
        <w:rPr>
          <w:i/>
          <w:iCs/>
        </w:rPr>
        <w:t>).</w:t>
      </w:r>
      <w:r w:rsidR="007535A6" w:rsidRPr="007535A6">
        <w:rPr>
          <w:i/>
          <w:iCs/>
        </w:rPr>
        <w:t>“)</w:t>
      </w:r>
      <w:r w:rsidR="007535A6">
        <w:t xml:space="preserve"> </w:t>
      </w:r>
      <w:r>
        <w:t xml:space="preserve">uveřejněného pod číslem 24/2020 Sb. </w:t>
      </w:r>
      <w:proofErr w:type="spellStart"/>
      <w:r>
        <w:t>rozh</w:t>
      </w:r>
      <w:proofErr w:type="spellEnd"/>
      <w:r>
        <w:t xml:space="preserve">. </w:t>
      </w:r>
      <w:proofErr w:type="spellStart"/>
      <w:r>
        <w:t>obč</w:t>
      </w:r>
      <w:proofErr w:type="spellEnd"/>
      <w:r>
        <w:t xml:space="preserve">. odst. 28, a zde citované literatury) či jako </w:t>
      </w:r>
      <w:r>
        <w:rPr>
          <w:i/>
        </w:rPr>
        <w:t>„zásada“</w:t>
      </w:r>
      <w:r>
        <w:t xml:space="preserve">, popřípadě </w:t>
      </w:r>
      <w:r>
        <w:rPr>
          <w:i/>
        </w:rPr>
        <w:t>„instrukce“</w:t>
      </w:r>
      <w:r>
        <w:t xml:space="preserve">, </w:t>
      </w:r>
      <w:r w:rsidRPr="004012EA">
        <w:rPr>
          <w:b/>
          <w:bCs/>
          <w:highlight w:val="cyan"/>
        </w:rPr>
        <w:t>ve smyslu článku 20 odst. 11 stanov</w:t>
      </w:r>
      <w:r>
        <w:t xml:space="preserve">. Napadená usnesení tak jsou [podle § 706 odst. 2 z. o. k. ve spojení s články 20 odst. 7 písm. b) a 20 odst. 11 stanov] adresována představenstvu, jemuž ukládají, </w:t>
      </w:r>
      <w:r w:rsidRPr="004012EA">
        <w:rPr>
          <w:b/>
          <w:bCs/>
          <w:color w:val="EE0000"/>
        </w:rPr>
        <w:t>aby prověřilo proveditelnost</w:t>
      </w:r>
      <w:r w:rsidRPr="004012EA">
        <w:rPr>
          <w:color w:val="EE0000"/>
        </w:rPr>
        <w:t xml:space="preserve"> </w:t>
      </w:r>
      <w:r>
        <w:t xml:space="preserve">těchto </w:t>
      </w:r>
      <w:r>
        <w:rPr>
          <w:i/>
        </w:rPr>
        <w:t>„rámcových instrukcí“</w:t>
      </w:r>
      <w:r>
        <w:t xml:space="preserve"> a </w:t>
      </w:r>
      <w:r w:rsidRPr="00103EBE">
        <w:rPr>
          <w:b/>
          <w:bCs/>
          <w:color w:val="EE0000"/>
        </w:rPr>
        <w:t xml:space="preserve">aby – bude-li to možné – smysl vydaných </w:t>
      </w:r>
      <w:r w:rsidRPr="00103EBE">
        <w:rPr>
          <w:b/>
          <w:bCs/>
          <w:i/>
          <w:color w:val="EE0000"/>
        </w:rPr>
        <w:t>„strategických pokynů“</w:t>
      </w:r>
      <w:r w:rsidRPr="00103EBE">
        <w:rPr>
          <w:b/>
          <w:bCs/>
          <w:color w:val="EE0000"/>
        </w:rPr>
        <w:t xml:space="preserve"> v nejširší možné míře naplnilo. </w:t>
      </w:r>
    </w:p>
    <w:p w14:paraId="661B4CE3" w14:textId="77777777" w:rsidR="00CA220E" w:rsidRDefault="00000000">
      <w:pPr>
        <w:numPr>
          <w:ilvl w:val="0"/>
          <w:numId w:val="10"/>
        </w:numPr>
        <w:ind w:right="0" w:hanging="637"/>
      </w:pPr>
      <w:r>
        <w:t xml:space="preserve">Za této situace nemůže řešení otázky, zda družstvo je výlučným vlastníkem bytových domů, jakkoli ovlivnit (zpochybnit) působnost členské schůze udělit představenstvu [v souladu s § 656 písm. t) a § 706 odst. 2 z. o. k. ve spojení s články 19 odst. 4 písm. k), m) a n), popřípadě 19 odst. 5, a články 20 odst. 7 písm. b) a 20 odst. 11 stanov] </w:t>
      </w:r>
      <w:r>
        <w:rPr>
          <w:i/>
        </w:rPr>
        <w:t>„rámcové instrukce“</w:t>
      </w:r>
      <w:r>
        <w:t xml:space="preserve"> dotýkající se nakládání s majetkem ve (spolu)vlastnictví družstva. </w:t>
      </w:r>
      <w:r w:rsidRPr="00103EBE">
        <w:rPr>
          <w:b/>
          <w:bCs/>
        </w:rPr>
        <w:t xml:space="preserve">Stejně tak nemůže být dotčeno oprávnění (působnost) členské schůze udělit </w:t>
      </w:r>
      <w:r w:rsidRPr="00103EBE">
        <w:rPr>
          <w:b/>
          <w:bCs/>
          <w:i/>
        </w:rPr>
        <w:t>„strategické pokyny“</w:t>
      </w:r>
      <w:r w:rsidRPr="00103EBE">
        <w:rPr>
          <w:b/>
          <w:bCs/>
        </w:rPr>
        <w:t xml:space="preserve"> směrující k tomu, aby představenstvo usilovalo o určitý způsob nakládání s majetkem ve svém (spolu)vlastnictví (a to případně i tak, že bude daný způsob nakládání s majetkem ve svém spoluvlastnictví prosazovat ve vztahu k dalšímu spoluvlastníkovi</w:t>
      </w:r>
      <w:r>
        <w:t xml:space="preserve">). </w:t>
      </w:r>
    </w:p>
    <w:p w14:paraId="40619FEB" w14:textId="77777777" w:rsidR="00CA220E" w:rsidRDefault="00000000">
      <w:pPr>
        <w:numPr>
          <w:ilvl w:val="0"/>
          <w:numId w:val="10"/>
        </w:numPr>
        <w:ind w:right="0" w:hanging="637"/>
      </w:pPr>
      <w:r>
        <w:t xml:space="preserve">Povaha napadených usnesení coby </w:t>
      </w:r>
      <w:r>
        <w:rPr>
          <w:i/>
        </w:rPr>
        <w:t>„rámcových instrukcí“</w:t>
      </w:r>
      <w:r>
        <w:t xml:space="preserve"> či </w:t>
      </w:r>
      <w:r>
        <w:rPr>
          <w:i/>
        </w:rPr>
        <w:t>„strategických pokynů“</w:t>
      </w:r>
      <w:r>
        <w:t xml:space="preserve"> přitom ovlivňuje i navrhovatelem namítanou </w:t>
      </w:r>
      <w:r>
        <w:rPr>
          <w:b/>
        </w:rPr>
        <w:t>neurčitost a nesrozumitelnost</w:t>
      </w:r>
      <w:r>
        <w:t xml:space="preserve"> napadených usnesení, k jejichž přezkumu byl soud navrhovatelem </w:t>
      </w:r>
      <w:r>
        <w:rPr>
          <w:i/>
        </w:rPr>
        <w:t>„vyzván“</w:t>
      </w:r>
      <w:r>
        <w:t xml:space="preserve">. Vytýká-li totiž navrhovatel napadeným usnesením, že jsou neurčitá či nesrozumitelná, neboť garáže a garážová stání nejsou v bytových domech vymezeny, jakož i proto, že není jednoznačné, zda má jít o garáže a garážová stání k datu přijetí napadených usnesení, či k plánovanému datu převodu, </w:t>
      </w:r>
      <w:r w:rsidRPr="00103EBE">
        <w:rPr>
          <w:b/>
          <w:bCs/>
          <w:color w:val="EE0000"/>
          <w:highlight w:val="yellow"/>
        </w:rPr>
        <w:t xml:space="preserve">pak přehlíží právě to, že jsou napadená usnesení pouze </w:t>
      </w:r>
      <w:r w:rsidRPr="00103EBE">
        <w:rPr>
          <w:b/>
          <w:bCs/>
          <w:i/>
          <w:color w:val="EE0000"/>
          <w:highlight w:val="yellow"/>
        </w:rPr>
        <w:t>„rámcovými instrukcemi“</w:t>
      </w:r>
      <w:r w:rsidRPr="00103EBE">
        <w:rPr>
          <w:b/>
          <w:bCs/>
          <w:color w:val="EE0000"/>
          <w:highlight w:val="yellow"/>
        </w:rPr>
        <w:t>.</w:t>
      </w:r>
      <w:r>
        <w:t xml:space="preserve"> Proto u nich není třeba trvat na takové míře určitosti, jaká by se vyžadovala pro </w:t>
      </w:r>
      <w:r>
        <w:rPr>
          <w:i/>
        </w:rPr>
        <w:t>právní titul</w:t>
      </w:r>
      <w:r>
        <w:t xml:space="preserve"> nabytí vlastnického práva či pro </w:t>
      </w:r>
      <w:r>
        <w:rPr>
          <w:i/>
        </w:rPr>
        <w:t>„smluvní dodatek“</w:t>
      </w:r>
      <w:r>
        <w:t xml:space="preserve">, kterým se mění dosavadní nájemní vztah. Řečeno již přitom bylo, že se družstvo potýká s problematikou převodu garáží a garážových stání, které se nacházejí v bytových domech, dlouhodobě (nejméně od roku 2018). Jakkoli přitom garáže a garážová stání nemusí být formálně vymezeny jako samostatné jednotky (či části jednotek) v katastru nemovitostí, je již ve výkresu 1. podzemního patra bytového domu, který byl Magistrátem města Zlín </w:t>
      </w:r>
      <w:r>
        <w:rPr>
          <w:i/>
        </w:rPr>
        <w:t>„12. 9. 02“</w:t>
      </w:r>
      <w:r>
        <w:t xml:space="preserve"> schválen </w:t>
      </w:r>
      <w:r>
        <w:rPr>
          <w:i/>
        </w:rPr>
        <w:t>„za podmínek č.j.: 2830/02/</w:t>
      </w:r>
      <w:proofErr w:type="spellStart"/>
      <w:r>
        <w:rPr>
          <w:i/>
        </w:rPr>
        <w:t>Bl</w:t>
      </w:r>
      <w:proofErr w:type="spellEnd"/>
      <w:r>
        <w:rPr>
          <w:i/>
        </w:rPr>
        <w:t xml:space="preserve">“ </w:t>
      </w:r>
      <w:r>
        <w:t xml:space="preserve">[důkaz uvedený v odst. 30(3) tohoto usnesení], faktické vymezení garáží a garážových stání patrné. Výměra garáží a garážových stání je pak s přesností na desetiny metrů uvedena v dokumentu </w:t>
      </w:r>
      <w:r>
        <w:rPr>
          <w:i/>
        </w:rPr>
        <w:t>„podklady k výběru nájemného za G, GS“</w:t>
      </w:r>
      <w:r>
        <w:t xml:space="preserve"> [důkaz uvedený v odst. 30(4) tohoto usnesení]. A s garážemi a garážovými stáními se pracuje též v obou návrzích prohlášení vlastníka nemovitostí (bytových domů) vypracovaných statutárním městem Zlín, resp. družstvem [důkazy </w:t>
      </w:r>
      <w:r>
        <w:lastRenderedPageBreak/>
        <w:t xml:space="preserve">uvedené v odst. 30(21) a 30(29) tohoto usnesení]. Vzhledem ke všem právě uvedeným skutečnostem je navrhovatelem vytýkaná neurčitost a nesrozumitelnost napadených usnesení pouze formální námitkou. To platí tím spíš, že o odkup </w:t>
      </w:r>
      <w:r>
        <w:rPr>
          <w:i/>
        </w:rPr>
        <w:t>„své“</w:t>
      </w:r>
      <w:r>
        <w:t xml:space="preserve"> garáže G3 v bytovém domě číslo popisné 5407 požádal i navrhovatel [důkaz uvedený v odst. 30(19) tohoto usnesení]. Za této situace členské schůzi při přijímání napadených usnesení bylo (muselo být) zcela zjevné, o čem je v rámci přijímání napadených usnesení rozhodováno, a tak napadeným usnesením nelze z hlediska jejich určitosti či srozumitelnosti ničeho vytknout. </w:t>
      </w:r>
    </w:p>
    <w:p w14:paraId="7C40D315" w14:textId="77777777" w:rsidR="00CA220E" w:rsidRDefault="00000000">
      <w:pPr>
        <w:numPr>
          <w:ilvl w:val="0"/>
          <w:numId w:val="10"/>
        </w:numPr>
        <w:ind w:right="0" w:hanging="637"/>
      </w:pPr>
      <w:r>
        <w:t xml:space="preserve">Obstát nemůže konečně ani výtka navrhovatele, podle které není jasné, za jaké období má být příspěvek stanovený napadeným usnesením č. 2 vyměřován. </w:t>
      </w:r>
      <w:r w:rsidRPr="00103EBE">
        <w:rPr>
          <w:b/>
          <w:bCs/>
          <w:color w:val="EE0000"/>
        </w:rPr>
        <w:t>Přehlédnout totiž nelze, že obě napadená usnesení byla přijata jako protinávrhy.</w:t>
      </w:r>
      <w:r w:rsidRPr="00103EBE">
        <w:rPr>
          <w:color w:val="EE0000"/>
        </w:rPr>
        <w:t xml:space="preserve"> </w:t>
      </w:r>
      <w:r>
        <w:t xml:space="preserve">Původní návrh usnesení, o němž měla členská schůze hlasovat pod bodem 4 programu, přitom počítal s příspěvkem </w:t>
      </w:r>
      <w:r>
        <w:rPr>
          <w:i/>
        </w:rPr>
        <w:t>„za metr plochy a měsíc“</w:t>
      </w:r>
      <w:r>
        <w:t xml:space="preserve">. Při užití objektivní metody výkladu napadeného usnesení č. 2 tak nelze vzhledem ke standardnímu běhu věci, ale ani v kontextu průběhu členské schůze, pochybovat o tom, že platba stanovená tímto napadeným usnesením měla být měsíčním příspěvkem. </w:t>
      </w:r>
    </w:p>
    <w:p w14:paraId="5DEECF3A" w14:textId="77777777" w:rsidR="00CA220E" w:rsidRDefault="00000000">
      <w:pPr>
        <w:numPr>
          <w:ilvl w:val="0"/>
          <w:numId w:val="10"/>
        </w:numPr>
        <w:ind w:right="0" w:hanging="637"/>
      </w:pPr>
      <w:r>
        <w:t xml:space="preserve">Napadená usnesení tedy vadami nesrozumitelnosti či neurčitosti netrpí, a tudíž nejde o rozhodnutí, na která by se podle § 45 odst. 2 z. o. k. hledělo, jako by nebyla. </w:t>
      </w:r>
    </w:p>
    <w:p w14:paraId="2D90D4FD" w14:textId="77777777" w:rsidR="00CA220E" w:rsidRPr="004012EA" w:rsidRDefault="00000000">
      <w:pPr>
        <w:numPr>
          <w:ilvl w:val="0"/>
          <w:numId w:val="10"/>
        </w:numPr>
        <w:ind w:right="0" w:hanging="637"/>
        <w:rPr>
          <w:b/>
          <w:bCs/>
        </w:rPr>
      </w:pPr>
      <w:r w:rsidRPr="004012EA">
        <w:rPr>
          <w:b/>
          <w:bCs/>
        </w:rPr>
        <w:t xml:space="preserve">Skutečnost, že jsou napadená usnesení výhradně </w:t>
      </w:r>
      <w:r w:rsidRPr="004012EA">
        <w:rPr>
          <w:b/>
          <w:bCs/>
          <w:i/>
        </w:rPr>
        <w:t xml:space="preserve">„rámcovými instrukcemi“ </w:t>
      </w:r>
      <w:r w:rsidRPr="004012EA">
        <w:rPr>
          <w:b/>
          <w:bCs/>
        </w:rPr>
        <w:t xml:space="preserve">či </w:t>
      </w:r>
      <w:r w:rsidRPr="004012EA">
        <w:rPr>
          <w:b/>
          <w:bCs/>
          <w:i/>
        </w:rPr>
        <w:t>„strategickými pokyny“</w:t>
      </w:r>
      <w:r w:rsidRPr="004012EA">
        <w:rPr>
          <w:b/>
          <w:bCs/>
        </w:rPr>
        <w:t>,</w:t>
      </w:r>
      <w:r w:rsidRPr="004012EA">
        <w:rPr>
          <w:b/>
          <w:bCs/>
          <w:i/>
        </w:rPr>
        <w:t xml:space="preserve"> </w:t>
      </w:r>
      <w:r w:rsidRPr="004012EA">
        <w:rPr>
          <w:b/>
          <w:bCs/>
        </w:rPr>
        <w:t xml:space="preserve">však výrazně ovlivňuje i právní posouzení prvních 3 žalobních bodů, jak jsou vymezeny v odst. 4 tohoto usnesení. </w:t>
      </w:r>
    </w:p>
    <w:p w14:paraId="4FD2B237" w14:textId="77777777" w:rsidR="00103EBE" w:rsidRDefault="00000000">
      <w:pPr>
        <w:numPr>
          <w:ilvl w:val="0"/>
          <w:numId w:val="10"/>
        </w:numPr>
        <w:ind w:right="0" w:hanging="637"/>
        <w:rPr>
          <w:b/>
          <w:bCs/>
        </w:rPr>
      </w:pPr>
      <w:r w:rsidRPr="004012EA">
        <w:rPr>
          <w:b/>
          <w:bCs/>
          <w:color w:val="EE0000"/>
        </w:rPr>
        <w:t>Jádrem argumentace navrhovatele</w:t>
      </w:r>
      <w:r w:rsidRPr="004012EA">
        <w:rPr>
          <w:b/>
          <w:bCs/>
        </w:rPr>
        <w:t xml:space="preserve">, kterou při formulaci těchto žalobních bodů snesl, je úvaha, podle níž by byly převodem garáží a garážových stání do vlastnictví garážníků </w:t>
      </w:r>
      <w:r w:rsidRPr="004012EA">
        <w:rPr>
          <w:b/>
          <w:bCs/>
          <w:color w:val="EE0000"/>
        </w:rPr>
        <w:t>za zvýhodněných (netržních) podmínek (bez opory ve stanovách) poškozeni členové družstva, kteří tento majetek družstva za zvýhodněných podmínek nenabydou</w:t>
      </w:r>
      <w:r w:rsidRPr="004012EA">
        <w:rPr>
          <w:b/>
          <w:bCs/>
        </w:rPr>
        <w:t xml:space="preserve">. </w:t>
      </w:r>
    </w:p>
    <w:p w14:paraId="2847BD7C" w14:textId="3855D4D5" w:rsidR="00CA220E" w:rsidRPr="004012EA" w:rsidRDefault="00000000" w:rsidP="00103EBE">
      <w:pPr>
        <w:ind w:left="637" w:right="0" w:firstLine="0"/>
        <w:rPr>
          <w:b/>
          <w:bCs/>
        </w:rPr>
      </w:pPr>
      <w:r w:rsidRPr="00103EBE">
        <w:rPr>
          <w:b/>
          <w:bCs/>
          <w:highlight w:val="yellow"/>
        </w:rPr>
        <w:t xml:space="preserve">Stejně tak by byli podle navrhovatele tito členové družstva znevýhodněni, pokud by garáže a garážová stání byly </w:t>
      </w:r>
      <w:proofErr w:type="spellStart"/>
      <w:r w:rsidRPr="00103EBE">
        <w:rPr>
          <w:b/>
          <w:bCs/>
          <w:highlight w:val="yellow"/>
        </w:rPr>
        <w:t>garážníkům</w:t>
      </w:r>
      <w:proofErr w:type="spellEnd"/>
      <w:r w:rsidRPr="00103EBE">
        <w:rPr>
          <w:b/>
          <w:bCs/>
          <w:highlight w:val="yellow"/>
        </w:rPr>
        <w:t xml:space="preserve"> přenechána k dočasnému užívání za zvýhodněných (netržních) podmínek.</w:t>
      </w:r>
      <w:r w:rsidRPr="004012EA">
        <w:rPr>
          <w:b/>
          <w:bCs/>
        </w:rPr>
        <w:t xml:space="preserve"> </w:t>
      </w:r>
    </w:p>
    <w:p w14:paraId="633D1423" w14:textId="77777777" w:rsidR="00CA220E" w:rsidRPr="00591F49" w:rsidRDefault="00000000">
      <w:pPr>
        <w:numPr>
          <w:ilvl w:val="0"/>
          <w:numId w:val="10"/>
        </w:numPr>
        <w:ind w:right="0" w:hanging="637"/>
        <w:rPr>
          <w:b/>
          <w:bCs/>
        </w:rPr>
      </w:pPr>
      <w:r w:rsidRPr="00591F49">
        <w:rPr>
          <w:b/>
          <w:bCs/>
        </w:rPr>
        <w:t>K tomu je předně třeba uvést, že jednou z charakteristik družstev je jejich majetková samostatnost</w:t>
      </w:r>
      <w:r>
        <w:t xml:space="preserve">. Ta se projevuje v celé řadě směrů, mezi nimiž dominuje </w:t>
      </w:r>
      <w:r w:rsidRPr="004012EA">
        <w:rPr>
          <w:b/>
          <w:bCs/>
          <w:color w:val="EE0000"/>
        </w:rPr>
        <w:t>důsledné odlišování majetku a dluhů družstva od jmění jejich členů</w:t>
      </w:r>
      <w:r>
        <w:t>. Tento princip je (v poměrech české družstevní úpravy) natolik striktní, že členové družstva zásadně (obecně) n</w:t>
      </w:r>
      <w:r w:rsidRPr="004012EA">
        <w:rPr>
          <w:b/>
          <w:bCs/>
          <w:color w:val="EE0000"/>
        </w:rPr>
        <w:t>eodpovídají ani neručí za případné nesplnění povinností družstva,</w:t>
      </w:r>
      <w:r>
        <w:t xml:space="preserve"> vyplývajících z jednotlivých vztahů, do nichž družstvo při své činnosti vstupují (srov. například </w:t>
      </w:r>
      <w:proofErr w:type="spellStart"/>
      <w:r>
        <w:rPr>
          <w:i/>
        </w:rPr>
        <w:t>Cileček</w:t>
      </w:r>
      <w:proofErr w:type="spellEnd"/>
      <w:r>
        <w:t xml:space="preserve"> In: Štenglová/Havel/</w:t>
      </w:r>
      <w:proofErr w:type="spellStart"/>
      <w:r>
        <w:t>Cileček</w:t>
      </w:r>
      <w:proofErr w:type="spellEnd"/>
      <w:r>
        <w:t>/Kuhn/</w:t>
      </w:r>
      <w:proofErr w:type="spellStart"/>
      <w:r>
        <w:t>Šuk</w:t>
      </w:r>
      <w:proofErr w:type="spellEnd"/>
      <w:r>
        <w:t xml:space="preserve">, Zákon o obchodních korporacích, 3. vyd., Praha: C. H. Beck, 2020, § 587, </w:t>
      </w:r>
      <w:proofErr w:type="spellStart"/>
      <w:r>
        <w:t>marg</w:t>
      </w:r>
      <w:proofErr w:type="spellEnd"/>
      <w:r>
        <w:t xml:space="preserve">. č. 1), což se ostatně deklaruje také v článku 4 odst. 2 stanov. To platí i v případě úpadku družstva (k odlišnému pojetí v zahraničním srovnání – v německém právu – z poslední doby například </w:t>
      </w:r>
      <w:proofErr w:type="spellStart"/>
      <w:r>
        <w:rPr>
          <w:i/>
        </w:rPr>
        <w:t>Markworth</w:t>
      </w:r>
      <w:proofErr w:type="spellEnd"/>
      <w:r>
        <w:t xml:space="preserve">, </w:t>
      </w:r>
      <w:proofErr w:type="spellStart"/>
      <w:r>
        <w:t>Wie</w:t>
      </w:r>
      <w:proofErr w:type="spellEnd"/>
      <w:r>
        <w:t xml:space="preserve"> </w:t>
      </w:r>
      <w:proofErr w:type="spellStart"/>
      <w:r>
        <w:t>weit</w:t>
      </w:r>
      <w:proofErr w:type="spellEnd"/>
      <w:r>
        <w:t xml:space="preserve"> </w:t>
      </w:r>
      <w:proofErr w:type="spellStart"/>
      <w:r>
        <w:t>reicht</w:t>
      </w:r>
      <w:proofErr w:type="spellEnd"/>
      <w:r>
        <w:t xml:space="preserve"> </w:t>
      </w:r>
      <w:proofErr w:type="spellStart"/>
      <w:r>
        <w:t>die</w:t>
      </w:r>
      <w:proofErr w:type="spellEnd"/>
      <w:r>
        <w:t xml:space="preserve"> </w:t>
      </w:r>
      <w:proofErr w:type="spellStart"/>
      <w:r>
        <w:t>Vermögensteilhabe</w:t>
      </w:r>
      <w:proofErr w:type="spellEnd"/>
      <w:r>
        <w:t xml:space="preserve"> des </w:t>
      </w:r>
      <w:proofErr w:type="spellStart"/>
      <w:r>
        <w:t>Genossenschaftsmitglieds</w:t>
      </w:r>
      <w:proofErr w:type="spellEnd"/>
      <w:r>
        <w:t xml:space="preserve">? </w:t>
      </w:r>
      <w:proofErr w:type="spellStart"/>
      <w:r>
        <w:t>Neue</w:t>
      </w:r>
      <w:proofErr w:type="spellEnd"/>
      <w:r>
        <w:t xml:space="preserve"> </w:t>
      </w:r>
      <w:proofErr w:type="spellStart"/>
      <w:r>
        <w:t>Zeitschrift</w:t>
      </w:r>
      <w:proofErr w:type="spellEnd"/>
      <w:r>
        <w:t xml:space="preserve"> </w:t>
      </w:r>
      <w:proofErr w:type="spellStart"/>
      <w:r>
        <w:t>für</w:t>
      </w:r>
      <w:proofErr w:type="spellEnd"/>
      <w:r>
        <w:t xml:space="preserve"> </w:t>
      </w:r>
      <w:proofErr w:type="spellStart"/>
      <w:r>
        <w:t>Gesellschaftsrecht</w:t>
      </w:r>
      <w:proofErr w:type="spellEnd"/>
      <w:r>
        <w:t xml:space="preserve">, 2025, č. 26, s. 1229). </w:t>
      </w:r>
      <w:r w:rsidRPr="00591F49">
        <w:rPr>
          <w:b/>
          <w:bCs/>
        </w:rPr>
        <w:t xml:space="preserve">V tomto směru se tak družstva ponejvíce přibližují akciovým společnostem. </w:t>
      </w:r>
    </w:p>
    <w:p w14:paraId="393A779B" w14:textId="77777777" w:rsidR="00CA220E" w:rsidRDefault="00000000">
      <w:pPr>
        <w:numPr>
          <w:ilvl w:val="0"/>
          <w:numId w:val="10"/>
        </w:numPr>
        <w:ind w:right="0" w:hanging="637"/>
      </w:pPr>
      <w:r>
        <w:t xml:space="preserve">Z právě uvedené majetkové samostatnosti družstev vyplývá, že jsou to především </w:t>
      </w:r>
      <w:r w:rsidRPr="00103EBE">
        <w:rPr>
          <w:b/>
          <w:bCs/>
          <w:color w:val="EE0000"/>
        </w:rPr>
        <w:t>sama družstva, která rozhodují o nakládání se svým majetkem,</w:t>
      </w:r>
      <w:r>
        <w:t xml:space="preserve"> včetně jeho zcizení. </w:t>
      </w:r>
      <w:r w:rsidRPr="004012EA">
        <w:rPr>
          <w:b/>
          <w:bCs/>
        </w:rPr>
        <w:t>K nakládání se svým majetkem, ale ani k jeho zcizení, přitom družstvo nemusí být výslovně zmocněno ve stanovách</w:t>
      </w:r>
      <w:r>
        <w:t xml:space="preserve"> (jak navrhovatel nesprávně namítá – </w:t>
      </w:r>
      <w:r>
        <w:rPr>
          <w:b/>
        </w:rPr>
        <w:t>1. žalobní bod</w:t>
      </w:r>
      <w:r>
        <w:t xml:space="preserve">), </w:t>
      </w:r>
      <w:r w:rsidRPr="004012EA">
        <w:rPr>
          <w:b/>
          <w:bCs/>
        </w:rPr>
        <w:t>a to ani tehdy, je-li majetek družstva zcizován ve prospěch některého z členů družstva</w:t>
      </w:r>
      <w:r>
        <w:t xml:space="preserve">. Jednotliví (řadoví) členové družstva mohou nakládání s majetkem družstva ovlivnit pouze nepřímo, prostřednictvím výkonu </w:t>
      </w:r>
      <w:r>
        <w:lastRenderedPageBreak/>
        <w:t xml:space="preserve">členských práv, a to zejména v rámci orgánů družstva, jejichž jsou členy. V poměrech družstva, které je účastníkem řízení v nyní projednávané věci, je takovým orgánem – s odkazem na již zmiňovaný článek 19 odst. 4 písm. k), m) a n) stanov – členská schůze. </w:t>
      </w:r>
      <w:r w:rsidRPr="00591F49">
        <w:rPr>
          <w:b/>
          <w:bCs/>
        </w:rPr>
        <w:t xml:space="preserve">Družstvu přitom lze v jeho obraně proti návrhu navrhovatele na zahájení řízení přisvědčit ohledně toho, že i za situace, kdy o nakládání s majetkem družstva rozhoduje členská schůze, platí, </w:t>
      </w:r>
      <w:r w:rsidRPr="00591F49">
        <w:rPr>
          <w:b/>
          <w:bCs/>
          <w:color w:val="EE0000"/>
        </w:rPr>
        <w:t xml:space="preserve">že soud zásadně (obecně) neposuzuje ekonomickou výhodnost, rozumnost nebo věcnou správnost přijatých usnesení </w:t>
      </w:r>
      <w:r>
        <w:t xml:space="preserve">(v literatuře v poměrech společnosti s ručením omezeným a akciové společnosti srov. </w:t>
      </w:r>
      <w:proofErr w:type="spellStart"/>
      <w:r>
        <w:rPr>
          <w:i/>
        </w:rPr>
        <w:t>Šuk</w:t>
      </w:r>
      <w:proofErr w:type="spellEnd"/>
      <w:r>
        <w:t xml:space="preserve"> In: Štenglová/Havel/</w:t>
      </w:r>
      <w:proofErr w:type="spellStart"/>
      <w:r>
        <w:t>Cileček</w:t>
      </w:r>
      <w:proofErr w:type="spellEnd"/>
      <w:r>
        <w:t>/Kuhn/</w:t>
      </w:r>
      <w:proofErr w:type="spellStart"/>
      <w:r>
        <w:t>Šuk</w:t>
      </w:r>
      <w:proofErr w:type="spellEnd"/>
      <w:r>
        <w:t xml:space="preserve">, op. cit., § 191, </w:t>
      </w:r>
      <w:proofErr w:type="spellStart"/>
      <w:r>
        <w:t>marg</w:t>
      </w:r>
      <w:proofErr w:type="spellEnd"/>
      <w:r>
        <w:t xml:space="preserve">. č. 27, nebo § 428, </w:t>
      </w:r>
      <w:proofErr w:type="spellStart"/>
      <w:r>
        <w:t>marg</w:t>
      </w:r>
      <w:proofErr w:type="spellEnd"/>
      <w:r>
        <w:t xml:space="preserve">. č. 27). </w:t>
      </w:r>
      <w:r w:rsidRPr="00591F49">
        <w:rPr>
          <w:b/>
          <w:bCs/>
        </w:rPr>
        <w:t>To platí i v nyní posuzované věci, a tak nemůže (v tomto smyslu) obstát ani 2. žalobní bod navrhovatele.</w:t>
      </w:r>
      <w:r>
        <w:t xml:space="preserve"> </w:t>
      </w:r>
    </w:p>
    <w:p w14:paraId="130B3693" w14:textId="77777777" w:rsidR="00CA220E" w:rsidRPr="00B050A8" w:rsidRDefault="00000000">
      <w:pPr>
        <w:numPr>
          <w:ilvl w:val="0"/>
          <w:numId w:val="10"/>
        </w:numPr>
        <w:ind w:right="0" w:hanging="637"/>
        <w:rPr>
          <w:b/>
          <w:bCs/>
          <w:color w:val="EE0000"/>
          <w:highlight w:val="yellow"/>
        </w:rPr>
      </w:pPr>
      <w:r w:rsidRPr="00B050A8">
        <w:rPr>
          <w:b/>
          <w:bCs/>
          <w:color w:val="EE0000"/>
          <w:highlight w:val="yellow"/>
        </w:rPr>
        <w:t xml:space="preserve">Navzdory tomu však lze argumentaci navrhovatele, kterou formuluje jako 3. žalobní bod, přiznat určitou relevanci. </w:t>
      </w:r>
    </w:p>
    <w:p w14:paraId="303960E6" w14:textId="77777777" w:rsidR="00CA220E" w:rsidRDefault="00000000">
      <w:pPr>
        <w:numPr>
          <w:ilvl w:val="0"/>
          <w:numId w:val="10"/>
        </w:numPr>
        <w:ind w:right="0" w:hanging="637"/>
      </w:pPr>
      <w:r>
        <w:t xml:space="preserve">Bylo-li totiž řečeno, že členové družstva zásadně (obecně) neodpovídají ani neručí za případné nesplnění povinností družstva, vyplývajících z jednotlivých vztahů, do nichž družstvo při své činnosti vstupují, a že se v tomto směru družstva přibližují ponejvíce akciovým společnostem, je třeba dodat, </w:t>
      </w:r>
      <w:r w:rsidRPr="00591F49">
        <w:rPr>
          <w:b/>
          <w:bCs/>
        </w:rPr>
        <w:t xml:space="preserve">že se družstva akciovým společnostem přibližují i co </w:t>
      </w:r>
      <w:r w:rsidRPr="004012EA">
        <w:rPr>
          <w:b/>
          <w:bCs/>
          <w:color w:val="EE0000"/>
          <w:u w:val="single"/>
        </w:rPr>
        <w:t>do systému zachování kapitálu</w:t>
      </w:r>
      <w:r w:rsidRPr="004012EA">
        <w:rPr>
          <w:color w:val="EE0000"/>
        </w:rPr>
        <w:t xml:space="preserve"> </w:t>
      </w:r>
      <w:r>
        <w:t xml:space="preserve">(k pojmu </w:t>
      </w:r>
      <w:r>
        <w:rPr>
          <w:i/>
        </w:rPr>
        <w:t>zachování kapitálu</w:t>
      </w:r>
      <w:r>
        <w:t xml:space="preserve"> v poměrech kapitálových společností viz</w:t>
      </w:r>
      <w:r>
        <w:rPr>
          <w:i/>
        </w:rPr>
        <w:t xml:space="preserve"> Kovaříček</w:t>
      </w:r>
      <w:r>
        <w:t>, Systém zachování kapitálu v poměrech kapitálových společností, Praha: C. H. Beck, s. 34–41). To je z právní úpravy družstevního práva na první pohled patrné, neboť nejen, že výslovně reguluje pravidla tvorby kapitálu (srov. zejména úpravu vkladové povinnosti v § 563–565 z. o. k. či úpravu zvyšování základního členského vkladu v § 566–</w:t>
      </w:r>
      <w:proofErr w:type="gramStart"/>
      <w:r>
        <w:t>567a</w:t>
      </w:r>
      <w:proofErr w:type="gramEnd"/>
      <w:r>
        <w:t xml:space="preserve"> z. o. k.), </w:t>
      </w:r>
      <w:r w:rsidRPr="00591F49">
        <w:rPr>
          <w:b/>
          <w:bCs/>
        </w:rPr>
        <w:t>ale i pravidla jeho rozdělování a zachování</w:t>
      </w:r>
      <w:r>
        <w:t xml:space="preserve"> (srov. například úpravu snížení základního členského vkladu v § 567b–</w:t>
      </w:r>
      <w:proofErr w:type="gramStart"/>
      <w:r>
        <w:t>571b</w:t>
      </w:r>
      <w:proofErr w:type="gramEnd"/>
      <w:r>
        <w:t xml:space="preserve"> z. o. k.). Nejde přitom ani zdaleka jen o kapitál </w:t>
      </w:r>
      <w:r>
        <w:rPr>
          <w:i/>
        </w:rPr>
        <w:t>základní</w:t>
      </w:r>
      <w:r>
        <w:t xml:space="preserve"> (viz například úpravu zákazu nabývání vlastních podílů v § 596 z. o. k. nebo omezení stanovená pro rozdělování zisku v bytových družstvech v § 750 z. o. k.). Dochází-li přitom k výměně určitých ocenitelných hodnot, jimiž může být i poskytování služeb, mezi družstvem a jeho členem, a to za neekvivalentní protiplnění, aniž by byly podmínky výměn těchto ocenitelných hodnot předvídány (předem dohodnuty) ve stanovách družstva, </w:t>
      </w:r>
      <w:r w:rsidRPr="00591F49">
        <w:rPr>
          <w:b/>
          <w:bCs/>
          <w:color w:val="EE0000"/>
        </w:rPr>
        <w:t xml:space="preserve">jde o tzv. </w:t>
      </w:r>
      <w:r w:rsidRPr="00591F49">
        <w:rPr>
          <w:b/>
          <w:bCs/>
          <w:i/>
          <w:color w:val="EE0000"/>
        </w:rPr>
        <w:t>neekvivalentní transakce</w:t>
      </w:r>
      <w:r w:rsidRPr="00591F49">
        <w:rPr>
          <w:b/>
          <w:bCs/>
          <w:color w:val="EE0000"/>
        </w:rPr>
        <w:t>, které jsou klasifikovány jako skryté rozdělování zisku</w:t>
      </w:r>
      <w:r w:rsidRPr="00591F49">
        <w:rPr>
          <w:color w:val="EE0000"/>
        </w:rPr>
        <w:t xml:space="preserve"> </w:t>
      </w:r>
      <w:r>
        <w:t>(v poměrech kapitálových společností</w:t>
      </w:r>
      <w:r>
        <w:rPr>
          <w:i/>
        </w:rPr>
        <w:t xml:space="preserve"> </w:t>
      </w:r>
      <w:r>
        <w:t xml:space="preserve">obdobně </w:t>
      </w:r>
      <w:r>
        <w:rPr>
          <w:i/>
        </w:rPr>
        <w:t>Kovaříček</w:t>
      </w:r>
      <w:r>
        <w:t xml:space="preserve">, Systém zachování kapitálu v poměrech kapitálových společností, s. 167 a násl.; ke skrytému rozdělování zisku v rozhodovací praxi Nejvyššího soudu viz rozsudek ze dne 27. 6. 2018, </w:t>
      </w:r>
      <w:proofErr w:type="spellStart"/>
      <w:r>
        <w:t>sp</w:t>
      </w:r>
      <w:proofErr w:type="spellEnd"/>
      <w:r>
        <w:t xml:space="preserve">. zn. </w:t>
      </w:r>
      <w:r w:rsidRPr="00C7521A">
        <w:rPr>
          <w:b/>
          <w:bCs/>
          <w:highlight w:val="cyan"/>
        </w:rPr>
        <w:t xml:space="preserve">29 </w:t>
      </w:r>
      <w:proofErr w:type="spellStart"/>
      <w:r w:rsidRPr="00C7521A">
        <w:rPr>
          <w:b/>
          <w:bCs/>
          <w:highlight w:val="cyan"/>
        </w:rPr>
        <w:t>Cdo</w:t>
      </w:r>
      <w:proofErr w:type="spellEnd"/>
      <w:r w:rsidRPr="00C7521A">
        <w:rPr>
          <w:b/>
          <w:bCs/>
          <w:highlight w:val="cyan"/>
        </w:rPr>
        <w:t xml:space="preserve"> 3325/2016</w:t>
      </w:r>
      <w:r>
        <w:t xml:space="preserve">, uveřejněný pod číslem 88/2019 Sb. </w:t>
      </w:r>
      <w:proofErr w:type="spellStart"/>
      <w:r>
        <w:t>rozh</w:t>
      </w:r>
      <w:proofErr w:type="spellEnd"/>
      <w:r>
        <w:t xml:space="preserve">. </w:t>
      </w:r>
      <w:proofErr w:type="spellStart"/>
      <w:r>
        <w:t>obč</w:t>
      </w:r>
      <w:proofErr w:type="spellEnd"/>
      <w:r>
        <w:t xml:space="preserve">.). </w:t>
      </w:r>
    </w:p>
    <w:p w14:paraId="55C6B4D5" w14:textId="168EAD49" w:rsidR="00CA220E" w:rsidRDefault="00000000" w:rsidP="002C2A27">
      <w:pPr>
        <w:numPr>
          <w:ilvl w:val="0"/>
          <w:numId w:val="10"/>
        </w:numPr>
        <w:ind w:right="0" w:hanging="637"/>
      </w:pPr>
      <w:r>
        <w:t xml:space="preserve">Krajský soud v Brně se přitom ztotožňuje s náhledem, podle něhož je pro určení právních následků skrytého rozdělování zisku rozhodující, jednak zda družstvo disponuje dostatečnou výší rozdělitelného kapitálu (ve smyslu bilančních testů podle § 34 odst. 2 a § 40 odst. 1 a 2 z. o. k.) </w:t>
      </w:r>
      <w:r w:rsidRPr="00C7521A">
        <w:rPr>
          <w:b/>
          <w:bCs/>
          <w:color w:val="EE0000"/>
        </w:rPr>
        <w:t>a jednak zda je se všemi členy družstva zacházeno rovně ve smyslu</w:t>
      </w:r>
      <w:r>
        <w:t xml:space="preserve"> § 212 odst. 1 věty druhé o. z. (v poměrech kapitálových společností</w:t>
      </w:r>
      <w:r>
        <w:rPr>
          <w:i/>
        </w:rPr>
        <w:t xml:space="preserve"> </w:t>
      </w:r>
      <w:r>
        <w:t xml:space="preserve">srov. </w:t>
      </w:r>
      <w:r w:rsidRPr="00C7521A">
        <w:rPr>
          <w:i/>
          <w:highlight w:val="cyan"/>
        </w:rPr>
        <w:t>Kovaříček</w:t>
      </w:r>
      <w:r w:rsidRPr="00C7521A">
        <w:rPr>
          <w:highlight w:val="cyan"/>
        </w:rPr>
        <w:t xml:space="preserve">, </w:t>
      </w:r>
      <w:r w:rsidRPr="00C7521A">
        <w:rPr>
          <w:b/>
          <w:bCs/>
          <w:highlight w:val="cyan"/>
        </w:rPr>
        <w:t>Systém zachování kapitálu v poměrech kapitálových společností, s. 203–204</w:t>
      </w:r>
      <w:r>
        <w:t xml:space="preserve">). V případě absence dostatečné výše rozdělitelného kapitálu nemá skryté rozdělení zisku – bez dalšího (silou zákona) žádné – právní účinky (ve smyslu § 34 odst. 2 a § 40 odst. 1 a 2 z. o. k.). Zatímco disponuje-li družstvo dostatečnou výší rozdělitelného kapitálu (ve smyslu § 34 odst. 2 a § 40 odst. 1 a 2 z. o. k.) </w:t>
      </w:r>
      <w:r w:rsidRPr="002C2A27">
        <w:rPr>
          <w:b/>
          <w:bCs/>
          <w:color w:val="EE0000"/>
        </w:rPr>
        <w:t>a dochází-li skrytým rozdělením zisku výlučně k nerovnému zacházení s členy družstva ve smyslu § 212 odst. 1 věty druhé o. z., je následkem skrytého rozdělení zisku zásadně (obecně) relativní neplatnost</w:t>
      </w:r>
      <w:r w:rsidRPr="002C2A27">
        <w:rPr>
          <w:color w:val="EE0000"/>
        </w:rPr>
        <w:t xml:space="preserve"> </w:t>
      </w:r>
      <w:r>
        <w:t>(ve smyslu § 586 odst. 1 o. z.) (v poměrech kapitálových společností blíže</w:t>
      </w:r>
      <w:r w:rsidRPr="002C2A27">
        <w:rPr>
          <w:i/>
        </w:rPr>
        <w:t xml:space="preserve"> Kovaříček</w:t>
      </w:r>
      <w:r>
        <w:t xml:space="preserve">, Systém zachování kapitálu v poměrech kapitálových společností, s. 204–205). </w:t>
      </w:r>
    </w:p>
    <w:p w14:paraId="4F2A1BDE" w14:textId="77777777" w:rsidR="00C7521A" w:rsidRDefault="00000000">
      <w:pPr>
        <w:numPr>
          <w:ilvl w:val="0"/>
          <w:numId w:val="10"/>
        </w:numPr>
        <w:ind w:right="0" w:hanging="637"/>
      </w:pPr>
      <w:r>
        <w:lastRenderedPageBreak/>
        <w:t xml:space="preserve">Namítá-li tak navrhovatel v nyní projednávané věci, že převod garáží a garážových stání do vlastnictví členů družstva není ve stanovách nijak upraven a že převodem garáží a garážových stání do vlastnictví garážníků za zvýhodněných (netržních) podmínek budou poškozeni členové družstva, kteří tento majetek družstva za zvýhodněných podmínek nenabydou, </w:t>
      </w:r>
      <w:r w:rsidRPr="00C7521A">
        <w:rPr>
          <w:b/>
          <w:bCs/>
          <w:color w:val="EE0000"/>
          <w:highlight w:val="yellow"/>
        </w:rPr>
        <w:t>namítá tím ve skutečnosti právě skryté rozdělování zisku družstva, při němž má dojít k nerovnému zacházení s členy družstva (ve smyslu § 212 odst. 1 věty druhé o. z.).</w:t>
      </w:r>
      <w:r>
        <w:t xml:space="preserve"> </w:t>
      </w:r>
    </w:p>
    <w:p w14:paraId="431445B1" w14:textId="5180A440" w:rsidR="00CA220E" w:rsidRDefault="00000000" w:rsidP="00C7521A">
      <w:pPr>
        <w:ind w:left="637" w:right="0" w:firstLine="0"/>
      </w:pPr>
      <w:r w:rsidRPr="00C7521A">
        <w:rPr>
          <w:b/>
          <w:bCs/>
          <w:color w:val="EE0000"/>
          <w:highlight w:val="yellow"/>
        </w:rPr>
        <w:t xml:space="preserve">Nejinak je tomu též ve vztahu k argumentaci navrhovatele, kterou poukazuje na to, že budou-li </w:t>
      </w:r>
      <w:proofErr w:type="spellStart"/>
      <w:r w:rsidRPr="00C7521A">
        <w:rPr>
          <w:b/>
          <w:bCs/>
          <w:color w:val="EE0000"/>
          <w:highlight w:val="yellow"/>
        </w:rPr>
        <w:t>garážníkům</w:t>
      </w:r>
      <w:proofErr w:type="spellEnd"/>
      <w:r w:rsidRPr="00C7521A">
        <w:rPr>
          <w:b/>
          <w:bCs/>
          <w:color w:val="EE0000"/>
          <w:highlight w:val="yellow"/>
        </w:rPr>
        <w:t xml:space="preserve"> garáže a garážová stání přenechána bez opory ve stanovách </w:t>
      </w:r>
      <w:r w:rsidRPr="00B050A8">
        <w:rPr>
          <w:b/>
          <w:bCs/>
          <w:color w:val="auto"/>
          <w:highlight w:val="yellow"/>
        </w:rPr>
        <w:t>za (netržních) zvýhodněných podmínek</w:t>
      </w:r>
      <w:r w:rsidRPr="00C7521A">
        <w:rPr>
          <w:b/>
          <w:bCs/>
          <w:color w:val="EE0000"/>
          <w:highlight w:val="yellow"/>
        </w:rPr>
        <w:t>, budou tím zbylí členové družstva poškozeni</w:t>
      </w:r>
      <w:r>
        <w:t xml:space="preserve">. </w:t>
      </w:r>
    </w:p>
    <w:p w14:paraId="7BC269DE" w14:textId="77777777" w:rsidR="00CA220E" w:rsidRDefault="00000000">
      <w:pPr>
        <w:numPr>
          <w:ilvl w:val="0"/>
          <w:numId w:val="10"/>
        </w:numPr>
        <w:ind w:right="0" w:hanging="637"/>
      </w:pPr>
      <w:r>
        <w:t xml:space="preserve">Ani tyto závěry však podle Krajského soudu v Brně nejsou důvodem pro vyslovení neplatnosti napadených usnesení. </w:t>
      </w:r>
    </w:p>
    <w:p w14:paraId="6C64704B" w14:textId="77777777" w:rsidR="00CA220E" w:rsidRDefault="00000000">
      <w:pPr>
        <w:numPr>
          <w:ilvl w:val="0"/>
          <w:numId w:val="10"/>
        </w:numPr>
        <w:ind w:right="0" w:hanging="637"/>
      </w:pPr>
      <w:r>
        <w:t xml:space="preserve">Je tomu tak proto, že </w:t>
      </w:r>
      <w:r w:rsidRPr="00357CE0">
        <w:rPr>
          <w:b/>
          <w:bCs/>
          <w:color w:val="auto"/>
          <w:highlight w:val="red"/>
        </w:rPr>
        <w:t xml:space="preserve">přijetím napadených usnesení </w:t>
      </w:r>
      <w:r w:rsidRPr="00357CE0">
        <w:rPr>
          <w:b/>
          <w:bCs/>
          <w:color w:val="auto"/>
          <w:highlight w:val="red"/>
          <w:u w:val="single"/>
        </w:rPr>
        <w:t>nedošlo k převodu vlastnického práva ke garážím či garážovým</w:t>
      </w:r>
      <w:r w:rsidRPr="00357CE0">
        <w:rPr>
          <w:b/>
          <w:bCs/>
          <w:color w:val="auto"/>
          <w:highlight w:val="red"/>
        </w:rPr>
        <w:t xml:space="preserve"> ani ke změně výše nákladů na provoz a správu garáží a garážových stání</w:t>
      </w:r>
      <w:r w:rsidRPr="00357CE0">
        <w:rPr>
          <w:color w:val="auto"/>
          <w:highlight w:val="red"/>
        </w:rPr>
        <w:t>.</w:t>
      </w:r>
      <w:r w:rsidRPr="00357CE0">
        <w:rPr>
          <w:color w:val="auto"/>
        </w:rPr>
        <w:t xml:space="preserve"> </w:t>
      </w:r>
      <w:r>
        <w:t xml:space="preserve">Napadená usnesení jsou výlučně </w:t>
      </w:r>
      <w:r>
        <w:rPr>
          <w:i/>
        </w:rPr>
        <w:t>„rámcovými instrukcemi“</w:t>
      </w:r>
      <w:r>
        <w:t xml:space="preserve">, resp. </w:t>
      </w:r>
      <w:r>
        <w:rPr>
          <w:i/>
        </w:rPr>
        <w:t xml:space="preserve">„strategickými pokyny“ </w:t>
      </w:r>
      <w:r>
        <w:t xml:space="preserve">ve smyslu článku 20 odst. 11 stanov, které představenstvu ukládají, </w:t>
      </w:r>
      <w:r w:rsidRPr="00357CE0">
        <w:rPr>
          <w:b/>
          <w:bCs/>
          <w:highlight w:val="red"/>
        </w:rPr>
        <w:t>aby představenstvo prověřilo jejich proveditelnost a aby – bude-li to možné – smysl napadených usnesení v nejširší možné míře naplnilo.</w:t>
      </w:r>
      <w:r>
        <w:t xml:space="preserve"> </w:t>
      </w:r>
      <w:r w:rsidRPr="00C7521A">
        <w:rPr>
          <w:b/>
          <w:bCs/>
          <w:color w:val="EE0000"/>
        </w:rPr>
        <w:t xml:space="preserve">Za dané situace je tak řešení otázky, zda by realizace napadených usnesení </w:t>
      </w:r>
      <w:r w:rsidRPr="007535A6">
        <w:rPr>
          <w:b/>
          <w:bCs/>
          <w:color w:val="EE0000"/>
          <w:highlight w:val="cyan"/>
        </w:rPr>
        <w:t>skutečně znamenala skryté rozdělení zisku spojené s nerovným zacházením se členy družstva ve smyslu § 212 odst. 1 věty druhé o. z</w:t>
      </w:r>
      <w:r w:rsidRPr="00C7521A">
        <w:rPr>
          <w:b/>
          <w:bCs/>
          <w:color w:val="EE0000"/>
        </w:rPr>
        <w:t xml:space="preserve">., </w:t>
      </w:r>
      <w:r w:rsidRPr="007535A6">
        <w:rPr>
          <w:b/>
          <w:bCs/>
          <w:color w:val="EE0000"/>
          <w:highlight w:val="cyan"/>
        </w:rPr>
        <w:t>úkolem představenstva</w:t>
      </w:r>
      <w:r w:rsidRPr="00C7521A">
        <w:rPr>
          <w:b/>
          <w:bCs/>
          <w:color w:val="EE0000"/>
        </w:rPr>
        <w:t>. Věcným přezkumem – podle navrhovatele – potenciálně hrozícího nerovného zacházení s členy družstva při realizaci napadených usnesení by Krajský soud v Brně bez zákonné opory zasahoval do působnosti představenstva,</w:t>
      </w:r>
      <w:r w:rsidRPr="00C7521A">
        <w:rPr>
          <w:color w:val="EE0000"/>
        </w:rPr>
        <w:t xml:space="preserve"> </w:t>
      </w:r>
      <w:r>
        <w:t xml:space="preserve">což je s odkazem na doktrínu minimalizace zásahů veřejné moci do vnitřních poměrů právnických osob nepřípustné (k tomu viz například usnesení Nejvyššího soudu </w:t>
      </w:r>
      <w:proofErr w:type="spellStart"/>
      <w:r>
        <w:t>sp</w:t>
      </w:r>
      <w:proofErr w:type="spellEnd"/>
      <w:r>
        <w:t xml:space="preserve">. zn. 29 </w:t>
      </w:r>
      <w:proofErr w:type="spellStart"/>
      <w:r>
        <w:t>Cdo</w:t>
      </w:r>
      <w:proofErr w:type="spellEnd"/>
      <w:r>
        <w:t xml:space="preserve"> 4235/2013, uveřejněné pod číslem 10/2017 Sb. </w:t>
      </w:r>
      <w:proofErr w:type="spellStart"/>
      <w:r>
        <w:t>rozh</w:t>
      </w:r>
      <w:proofErr w:type="spellEnd"/>
      <w:r>
        <w:t xml:space="preserve">. </w:t>
      </w:r>
      <w:proofErr w:type="spellStart"/>
      <w:r>
        <w:t>obč</w:t>
      </w:r>
      <w:proofErr w:type="spellEnd"/>
      <w:r>
        <w:t xml:space="preserve">., ze dne 8. 12. 2015, </w:t>
      </w:r>
      <w:proofErr w:type="spellStart"/>
      <w:r>
        <w:t>sp</w:t>
      </w:r>
      <w:proofErr w:type="spellEnd"/>
      <w:r>
        <w:t xml:space="preserve">. zn. 29 </w:t>
      </w:r>
      <w:proofErr w:type="spellStart"/>
      <w:r>
        <w:t>Cdo</w:t>
      </w:r>
      <w:proofErr w:type="spellEnd"/>
      <w:r>
        <w:t xml:space="preserve"> 4384/2015, uveřejněné pod číslem 102/2016 Sb. </w:t>
      </w:r>
      <w:proofErr w:type="spellStart"/>
      <w:r>
        <w:t>rozh</w:t>
      </w:r>
      <w:proofErr w:type="spellEnd"/>
      <w:r>
        <w:t xml:space="preserve">. </w:t>
      </w:r>
      <w:proofErr w:type="spellStart"/>
      <w:r>
        <w:t>obč</w:t>
      </w:r>
      <w:proofErr w:type="spellEnd"/>
      <w:r>
        <w:t xml:space="preserve">., ze dne 20. 4. 2016, </w:t>
      </w:r>
      <w:proofErr w:type="spellStart"/>
      <w:r>
        <w:t>sp</w:t>
      </w:r>
      <w:proofErr w:type="spellEnd"/>
      <w:r>
        <w:t xml:space="preserve">. zn. 29 </w:t>
      </w:r>
      <w:proofErr w:type="spellStart"/>
      <w:r>
        <w:t>Cdo</w:t>
      </w:r>
      <w:proofErr w:type="spellEnd"/>
      <w:r>
        <w:t xml:space="preserve"> 3899/2015, uveřejněné pod číslem 59/2017 Sb. </w:t>
      </w:r>
      <w:proofErr w:type="spellStart"/>
      <w:r>
        <w:t>rozh</w:t>
      </w:r>
      <w:proofErr w:type="spellEnd"/>
      <w:r>
        <w:t xml:space="preserve">. </w:t>
      </w:r>
      <w:proofErr w:type="spellStart"/>
      <w:r>
        <w:t>obč</w:t>
      </w:r>
      <w:proofErr w:type="spellEnd"/>
      <w:r>
        <w:t xml:space="preserve">., ze dne 13. 7. 2016, </w:t>
      </w:r>
      <w:proofErr w:type="spellStart"/>
      <w:r>
        <w:t>sp</w:t>
      </w:r>
      <w:proofErr w:type="spellEnd"/>
      <w:r>
        <w:t xml:space="preserve">. zn. 29 </w:t>
      </w:r>
      <w:proofErr w:type="spellStart"/>
      <w:r>
        <w:t>Cdo</w:t>
      </w:r>
      <w:proofErr w:type="spellEnd"/>
      <w:r>
        <w:t xml:space="preserve"> 396/2016, uveřejněné pod číslem 123/2017 Sb. </w:t>
      </w:r>
      <w:proofErr w:type="spellStart"/>
      <w:r>
        <w:t>rozh</w:t>
      </w:r>
      <w:proofErr w:type="spellEnd"/>
      <w:r>
        <w:t xml:space="preserve">. </w:t>
      </w:r>
      <w:proofErr w:type="spellStart"/>
      <w:r>
        <w:t>obč</w:t>
      </w:r>
      <w:proofErr w:type="spellEnd"/>
      <w:r>
        <w:t xml:space="preserve">., ze dne 29. 11. 2018, </w:t>
      </w:r>
      <w:proofErr w:type="spellStart"/>
      <w:r>
        <w:t>sp</w:t>
      </w:r>
      <w:proofErr w:type="spellEnd"/>
      <w:r>
        <w:t xml:space="preserve">. zn. 27 </w:t>
      </w:r>
      <w:proofErr w:type="spellStart"/>
      <w:r>
        <w:t>Cdo</w:t>
      </w:r>
      <w:proofErr w:type="spellEnd"/>
      <w:r>
        <w:t xml:space="preserve"> 1875/2018, uveřejněné pod číslem 94/2019 Sb. </w:t>
      </w:r>
      <w:proofErr w:type="spellStart"/>
      <w:r>
        <w:t>rozh</w:t>
      </w:r>
      <w:proofErr w:type="spellEnd"/>
      <w:r>
        <w:t xml:space="preserve">. </w:t>
      </w:r>
      <w:proofErr w:type="spellStart"/>
      <w:r>
        <w:t>obč</w:t>
      </w:r>
      <w:proofErr w:type="spellEnd"/>
      <w:r>
        <w:t xml:space="preserve">., nebo rozsudek ze dne 20. 11. 2019, </w:t>
      </w:r>
      <w:proofErr w:type="spellStart"/>
      <w:r>
        <w:t>sp</w:t>
      </w:r>
      <w:proofErr w:type="spellEnd"/>
      <w:r>
        <w:t xml:space="preserve">. zn. 27 </w:t>
      </w:r>
      <w:proofErr w:type="spellStart"/>
      <w:r>
        <w:t>Cdo</w:t>
      </w:r>
      <w:proofErr w:type="spellEnd"/>
      <w:r>
        <w:t xml:space="preserve"> 3312/2018, či v literatuře </w:t>
      </w:r>
      <w:proofErr w:type="spellStart"/>
      <w:r>
        <w:rPr>
          <w:i/>
        </w:rPr>
        <w:t>Šuk</w:t>
      </w:r>
      <w:proofErr w:type="spellEnd"/>
      <w:r>
        <w:t xml:space="preserve">, Ingerence soudů do vnitřních poměrů obchodních korporací, Bulletin advokacie, 2017, č. 11, s. 21–24). </w:t>
      </w:r>
      <w:r w:rsidRPr="00B050A8">
        <w:rPr>
          <w:b/>
          <w:bCs/>
          <w:color w:val="EE0000"/>
          <w:highlight w:val="yellow"/>
        </w:rPr>
        <w:t>Soudní přezkum této otázky by tak byl pro tuto chvíli předčasný</w:t>
      </w:r>
      <w:r>
        <w:t xml:space="preserve">. Těžiště obrany proti nerovnému zacházení (ve smyslu § 212 odst. 1 věty druhé o. z.) při skrytém rozdělování zisku totiž je – jak již bylo vysvětleno </w:t>
      </w:r>
      <w:r w:rsidRPr="00C7521A">
        <w:rPr>
          <w:b/>
          <w:bCs/>
          <w:highlight w:val="yellow"/>
        </w:rPr>
        <w:t>v odst. 60</w:t>
      </w:r>
      <w:r>
        <w:t xml:space="preserve"> tohoto usnesení – </w:t>
      </w:r>
      <w:r w:rsidRPr="00C7521A">
        <w:rPr>
          <w:b/>
          <w:bCs/>
          <w:color w:val="EE0000"/>
        </w:rPr>
        <w:t>vystavěno na dodatečné (</w:t>
      </w:r>
      <w:r w:rsidRPr="00C7521A">
        <w:rPr>
          <w:b/>
          <w:bCs/>
          <w:i/>
          <w:color w:val="EE0000"/>
        </w:rPr>
        <w:t>ex post</w:t>
      </w:r>
      <w:r w:rsidRPr="00C7521A">
        <w:rPr>
          <w:b/>
          <w:bCs/>
          <w:color w:val="EE0000"/>
        </w:rPr>
        <w:t>) kontrole jednotlivých výměn určitých ocenitelných hodnot mezi družstvem a jeho členem, jejichž platnost může ten, jehož zájmy byly dotčeny (ve smyslu § 586 odst. 1 o. z.), napadat.</w:t>
      </w:r>
      <w:r w:rsidRPr="00C7521A">
        <w:rPr>
          <w:color w:val="EE0000"/>
        </w:rPr>
        <w:t xml:space="preserve">  </w:t>
      </w:r>
    </w:p>
    <w:p w14:paraId="5A220D94" w14:textId="3B55E823" w:rsidR="00CA220E" w:rsidRPr="00C7521A" w:rsidRDefault="00000000" w:rsidP="00C7521A">
      <w:pPr>
        <w:numPr>
          <w:ilvl w:val="0"/>
          <w:numId w:val="10"/>
        </w:numPr>
        <w:ind w:right="0" w:hanging="637"/>
        <w:rPr>
          <w:b/>
          <w:bCs/>
        </w:rPr>
      </w:pPr>
      <w:r>
        <w:t xml:space="preserve">K tomu se přitom sluší dodat, že představenstvo napadenými usneseními – coby </w:t>
      </w:r>
      <w:r>
        <w:rPr>
          <w:i/>
        </w:rPr>
        <w:t>„rámcovými instrukcemi“</w:t>
      </w:r>
      <w:r>
        <w:t xml:space="preserve">, resp. </w:t>
      </w:r>
      <w:r>
        <w:rPr>
          <w:i/>
        </w:rPr>
        <w:t xml:space="preserve">„strategickými pokyny“ </w:t>
      </w:r>
      <w:r>
        <w:t xml:space="preserve">ve smyslu článku 20 odst. 11 stanov – </w:t>
      </w:r>
      <w:r w:rsidRPr="003D7942">
        <w:rPr>
          <w:b/>
          <w:bCs/>
          <w:color w:val="EE0000"/>
          <w:highlight w:val="yellow"/>
        </w:rPr>
        <w:t>není bezpodmínečně vázáno.</w:t>
      </w:r>
      <w:r>
        <w:t xml:space="preserve"> Obchodní vedení družstva, s nímž souvisí i rozhodování o právním jednání učiněném za družstvo navenek, je totiž pravomocí představenstva (§ 706 odst. 1 z. o. k.), kterému není nikdo oprávněn pokyny týkající se obchodního vedení (článek 20 odst. 11 stanov). Představenstvo tak sice plní usnesení členské schůze [článek 20 odst. 7 písm. b) stanov], </w:t>
      </w:r>
      <w:r w:rsidRPr="00C7521A">
        <w:rPr>
          <w:b/>
          <w:bCs/>
        </w:rPr>
        <w:t xml:space="preserve">avšak pouze tehdy, nejedná-li se o pokyny do obchodního vedení, nadto se představenstvo řídí zásadami a pokyny schválenými členskou schůzi </w:t>
      </w:r>
      <w:r w:rsidRPr="00C7521A">
        <w:rPr>
          <w:b/>
          <w:bCs/>
          <w:color w:val="EE0000"/>
        </w:rPr>
        <w:t>jen tehdy, jsou-li v souladu s právními předpisy a stanovami</w:t>
      </w:r>
      <w:r w:rsidRPr="00C7521A">
        <w:rPr>
          <w:color w:val="EE0000"/>
        </w:rPr>
        <w:t xml:space="preserve"> </w:t>
      </w:r>
      <w:r>
        <w:t xml:space="preserve">(§ 706 odst. 2 z. o. k., jakož i článek 20 odst. 11 stanov). </w:t>
      </w:r>
      <w:r w:rsidRPr="003D7942">
        <w:rPr>
          <w:b/>
          <w:bCs/>
          <w:color w:val="EE0000"/>
          <w:highlight w:val="yellow"/>
        </w:rPr>
        <w:t>To platí i za situace, kdy soud neplatnost určitých usnesení členské schůze nevyslovil</w:t>
      </w:r>
      <w:r w:rsidRPr="003D7942">
        <w:rPr>
          <w:color w:val="EE0000"/>
          <w:highlight w:val="yellow"/>
        </w:rPr>
        <w:t xml:space="preserve"> </w:t>
      </w:r>
      <w:r w:rsidRPr="003D7942">
        <w:rPr>
          <w:highlight w:val="yellow"/>
        </w:rPr>
        <w:t>(</w:t>
      </w:r>
      <w:r>
        <w:t xml:space="preserve">k tomu srov. usnesení Nejvyššího </w:t>
      </w:r>
      <w:r>
        <w:lastRenderedPageBreak/>
        <w:t xml:space="preserve">soudu ze dne 20. 8. 2014, </w:t>
      </w:r>
      <w:proofErr w:type="spellStart"/>
      <w:r>
        <w:t>sp</w:t>
      </w:r>
      <w:proofErr w:type="spellEnd"/>
      <w:r>
        <w:t xml:space="preserve">. zn. </w:t>
      </w:r>
      <w:r w:rsidRPr="003D7942">
        <w:rPr>
          <w:b/>
          <w:bCs/>
          <w:highlight w:val="cyan"/>
        </w:rPr>
        <w:t xml:space="preserve">29 </w:t>
      </w:r>
      <w:proofErr w:type="spellStart"/>
      <w:r w:rsidRPr="003D7942">
        <w:rPr>
          <w:b/>
          <w:bCs/>
          <w:highlight w:val="cyan"/>
        </w:rPr>
        <w:t>Cdo</w:t>
      </w:r>
      <w:proofErr w:type="spellEnd"/>
      <w:r w:rsidRPr="003D7942">
        <w:rPr>
          <w:b/>
          <w:bCs/>
          <w:highlight w:val="cyan"/>
        </w:rPr>
        <w:t xml:space="preserve"> 1800/2014</w:t>
      </w:r>
      <w:r>
        <w:t xml:space="preserve">). K tomu, aby mohlo představenstvo – případně – vyhodnotit napadená usnesení jako rozporná s právními předpisy ve smyslu § 706 odst. 2 z. o. k., resp. ve smyslu článku 20 odst. 11 stanov (a to i z důvodu navrhovatelem namítaného nerovného zacházení s členy družstva při skrytém rozdělování zisku), </w:t>
      </w:r>
      <w:r w:rsidRPr="003D7942">
        <w:rPr>
          <w:b/>
          <w:bCs/>
          <w:color w:val="EE0000"/>
        </w:rPr>
        <w:t>tak není třeba, aby soud neplatnost napadených vyslovil.</w:t>
      </w:r>
      <w:r w:rsidRPr="003D7942">
        <w:rPr>
          <w:color w:val="EE0000"/>
        </w:rPr>
        <w:t xml:space="preserve"> </w:t>
      </w:r>
      <w:r>
        <w:t xml:space="preserve">S odkazem na již zmiňovanou doktrínu minimalizace zásahů veřejné moci do vnitřních poměrů právnických osob (viz odst. 63 tohoto usnesení) je naopak žádoucí, </w:t>
      </w:r>
      <w:r w:rsidRPr="00C7521A">
        <w:rPr>
          <w:b/>
          <w:bCs/>
          <w:color w:val="EE0000"/>
        </w:rPr>
        <w:t>aby soud představenstvu ponechal dostatečný prostor k vlastnímu uvážení a aby bez zákonné opory (</w:t>
      </w:r>
      <w:r w:rsidRPr="00C7521A">
        <w:rPr>
          <w:b/>
          <w:bCs/>
          <w:i/>
          <w:color w:val="EE0000"/>
        </w:rPr>
        <w:t>ex ante</w:t>
      </w:r>
      <w:r w:rsidRPr="00C7521A">
        <w:rPr>
          <w:b/>
          <w:bCs/>
          <w:color w:val="EE0000"/>
        </w:rPr>
        <w:t>) nezasahoval do jeho působnosti</w:t>
      </w:r>
      <w:r>
        <w:t xml:space="preserve">. </w:t>
      </w:r>
    </w:p>
    <w:p w14:paraId="676FD80E" w14:textId="77777777" w:rsidR="00CA220E" w:rsidRPr="00C7521A" w:rsidRDefault="00000000">
      <w:pPr>
        <w:numPr>
          <w:ilvl w:val="0"/>
          <w:numId w:val="10"/>
        </w:numPr>
        <w:ind w:right="0" w:hanging="637"/>
        <w:rPr>
          <w:b/>
          <w:bCs/>
        </w:rPr>
      </w:pPr>
      <w:r w:rsidRPr="00C7521A">
        <w:rPr>
          <w:b/>
          <w:bCs/>
        </w:rPr>
        <w:t xml:space="preserve">Za této situace tak Krajský soud v Brně dospěl k závěru, že vady napadených usnesení tvrzené v rámci prvních 3 žalobních bodů nemohou vést k vyslovení neplatnosti napadených usnesení podle smyslu § 663 odst. 1 a 5 z. o. k. </w:t>
      </w:r>
    </w:p>
    <w:p w14:paraId="48C08380" w14:textId="77777777" w:rsidR="00CA220E" w:rsidRDefault="00000000">
      <w:pPr>
        <w:numPr>
          <w:ilvl w:val="0"/>
          <w:numId w:val="10"/>
        </w:numPr>
        <w:ind w:right="0" w:hanging="637"/>
      </w:pPr>
      <w:r>
        <w:t xml:space="preserve">Navrhovatel jako </w:t>
      </w:r>
      <w:r>
        <w:rPr>
          <w:b/>
        </w:rPr>
        <w:t>4. žalobní bod</w:t>
      </w:r>
      <w:r>
        <w:t xml:space="preserve"> dále namítal, že při přijímání napadených usnesení došlo ke zneužití hlasovacích práv, neboť při přijímání napadených usnesení hlasovali i </w:t>
      </w:r>
      <w:proofErr w:type="spellStart"/>
      <w:r>
        <w:t>garážnici</w:t>
      </w:r>
      <w:proofErr w:type="spellEnd"/>
      <w:r>
        <w:t>, ačkoli se napadená usnesení bezprostředně dotýkají jejich právního postavení. Přitom však přehlíží, že úprava pozastavení (</w:t>
      </w:r>
      <w:r>
        <w:rPr>
          <w:i/>
        </w:rPr>
        <w:t>sistace</w:t>
      </w:r>
      <w:r>
        <w:t xml:space="preserve">) hlasovacích práv člena družstva je omezena na důvody uvedené v § 660 z. o. k. a že mezi těmito důvody není </w:t>
      </w:r>
      <w:r>
        <w:rPr>
          <w:i/>
        </w:rPr>
        <w:t xml:space="preserve">„střet zájmů“ </w:t>
      </w:r>
      <w:r>
        <w:t>člena družstva v tom smyslu, jak jej navrhovatel vymezuje. Stanovy družstva pak pozastavení (</w:t>
      </w:r>
      <w:r>
        <w:rPr>
          <w:i/>
        </w:rPr>
        <w:t>sistaci</w:t>
      </w:r>
      <w:r>
        <w:t xml:space="preserve">) hlasovacích práv členů družstva neupravují. </w:t>
      </w:r>
    </w:p>
    <w:p w14:paraId="1C81AD5A" w14:textId="77777777" w:rsidR="00CA220E" w:rsidRDefault="00000000">
      <w:pPr>
        <w:numPr>
          <w:ilvl w:val="0"/>
          <w:numId w:val="10"/>
        </w:numPr>
        <w:spacing w:after="148"/>
        <w:ind w:right="0" w:hanging="637"/>
      </w:pPr>
      <w:r>
        <w:t xml:space="preserve">Již v usnesení ze dne 27. 11. 2014, </w:t>
      </w:r>
      <w:proofErr w:type="spellStart"/>
      <w:r>
        <w:t>sp</w:t>
      </w:r>
      <w:proofErr w:type="spellEnd"/>
      <w:r>
        <w:t xml:space="preserve">. zn. 29 </w:t>
      </w:r>
      <w:proofErr w:type="spellStart"/>
      <w:r>
        <w:t>Cdo</w:t>
      </w:r>
      <w:proofErr w:type="spellEnd"/>
      <w:r>
        <w:t xml:space="preserve"> 3387/2013, přitom Nejvyšší soud (v poměrech společnosti s ručením omezeným, při výkladu právní úpravy účinné do 31. 12. 2023) formuloval závěr, podle něhož při výkladu právní úpravy </w:t>
      </w:r>
      <w:r>
        <w:rPr>
          <w:i/>
        </w:rPr>
        <w:t>sistace</w:t>
      </w:r>
      <w:r>
        <w:t xml:space="preserve"> hlasovacího práva nelze přehlížet, že jde o významný zásah do jednoho ze základních práv společníka, resp. výjimku z pravidla, podle něhož společník má právo se prostřednictvím výkonu hlasovacího práva podílet na řízení společnosti a kontrole její činnosti; z povahy výjimky pak plyne, že ustanovení o výjimce nelze vykládat rozšiřujícím způsobem a lze je aplikovat pouze v případech, pro něž byla výjimka konstruována (v poměrech právní úpravy účinné od 1. 1. 2014 srov. například usnesení Nejvyššího soudu ze dne 29. 1. 2020, </w:t>
      </w:r>
      <w:proofErr w:type="spellStart"/>
      <w:r>
        <w:t>sp</w:t>
      </w:r>
      <w:proofErr w:type="spellEnd"/>
      <w:r>
        <w:t xml:space="preserve">. zn. 27 </w:t>
      </w:r>
      <w:proofErr w:type="spellStart"/>
      <w:r>
        <w:t>Cdo</w:t>
      </w:r>
      <w:proofErr w:type="spellEnd"/>
      <w:r>
        <w:t xml:space="preserve"> 3315/2018, odst. 33). Jakýkoli rozšiřující výklad pozastavení (</w:t>
      </w:r>
      <w:r>
        <w:rPr>
          <w:i/>
        </w:rPr>
        <w:t>sistace</w:t>
      </w:r>
      <w:r>
        <w:t xml:space="preserve">) hlasovacích práv členů družstva nad rámec úpravy zákona či stanov, je tudíž nepřípustný. </w:t>
      </w:r>
    </w:p>
    <w:p w14:paraId="35E42618" w14:textId="77777777" w:rsidR="00CA220E" w:rsidRDefault="00000000">
      <w:pPr>
        <w:numPr>
          <w:ilvl w:val="0"/>
          <w:numId w:val="10"/>
        </w:numPr>
        <w:spacing w:after="10"/>
        <w:ind w:right="0" w:hanging="637"/>
      </w:pPr>
      <w:r>
        <w:t>Je-li tak pozastavení (</w:t>
      </w:r>
      <w:r>
        <w:rPr>
          <w:i/>
        </w:rPr>
        <w:t>sistace</w:t>
      </w:r>
      <w:r>
        <w:t xml:space="preserve">) hlasovacích práv člena družstva upravena výlučně v § 660 z. o. k. </w:t>
      </w:r>
    </w:p>
    <w:p w14:paraId="0C963CBD" w14:textId="77777777" w:rsidR="00CA220E" w:rsidRDefault="00000000">
      <w:pPr>
        <w:numPr>
          <w:ilvl w:val="1"/>
          <w:numId w:val="10"/>
        </w:numPr>
        <w:ind w:right="0" w:firstLine="0"/>
      </w:pPr>
      <w:r>
        <w:t>neupravují-li stanovy pozastavení (</w:t>
      </w:r>
      <w:r>
        <w:rPr>
          <w:i/>
        </w:rPr>
        <w:t>sistaci</w:t>
      </w:r>
      <w:r>
        <w:t xml:space="preserve">) hlasovacích práv členů družstva, nezakládá skutečnost, že garážníci hlasovali o napadených usneseních, rozpor napadených usnesení se zákonem ani stanovami ve smyslu § 663 odst. 1 věty první z. o. k. Ani tvrzení navrhovatele formulovaná k tomu žalobnímu bodu tak nemohou vést k vyslovení neplatnosti napadených usnesení. </w:t>
      </w:r>
    </w:p>
    <w:p w14:paraId="7AA4E637" w14:textId="77777777" w:rsidR="00CA220E" w:rsidRDefault="00000000">
      <w:pPr>
        <w:numPr>
          <w:ilvl w:val="0"/>
          <w:numId w:val="10"/>
        </w:numPr>
        <w:ind w:right="0" w:hanging="637"/>
      </w:pPr>
      <w:r>
        <w:t xml:space="preserve">Namítá-li navrhovatel jako </w:t>
      </w:r>
      <w:r>
        <w:rPr>
          <w:b/>
        </w:rPr>
        <w:t>5. žalobní bod</w:t>
      </w:r>
      <w:r>
        <w:t xml:space="preserve">, že jsou napadená usnesení v rozporu s dobrými mravy, neboť garážníci protiprávně ovládli členskou schůzi, když lstivě vylákali plné moci od zbylých členů družstva, nelze ani tomuto tvrzenému důvodu neplatnosti napadených usnesení přiznat relevanci. Navrhovatel uvedl, že </w:t>
      </w:r>
      <w:proofErr w:type="spellStart"/>
      <w:r>
        <w:t>garážnící</w:t>
      </w:r>
      <w:proofErr w:type="spellEnd"/>
      <w:r>
        <w:t xml:space="preserve"> členům družstva, které oslovili</w:t>
      </w:r>
      <w:r>
        <w:rPr>
          <w:i/>
        </w:rPr>
        <w:t>, „</w:t>
      </w:r>
      <w:r w:rsidRPr="00A0162F">
        <w:rPr>
          <w:b/>
          <w:bCs/>
          <w:i/>
        </w:rPr>
        <w:t>tvrdili, že na udělení souhlasu k převodu garáží a garážových stání mají právo, protože si za tyto garáže a garážová stání již zaplatili</w:t>
      </w:r>
      <w:r>
        <w:rPr>
          <w:i/>
        </w:rPr>
        <w:t>“</w:t>
      </w:r>
      <w:r>
        <w:t xml:space="preserve">. I kdyby byly tato tvrzení navrhovatele prokázána, nebylo by popsané vzájemné působení členů družstva možné klasifikovat jako důvod pro vyslovení neplatnosti napadených usnesení. V širších souvislostech sporných vztahů družstva se statutárním města Zlín, na které poukazuje i sám navrhovatele, </w:t>
      </w:r>
      <w:r w:rsidRPr="00981A97">
        <w:rPr>
          <w:b/>
          <w:bCs/>
          <w:color w:val="EE0000"/>
          <w:highlight w:val="cyan"/>
        </w:rPr>
        <w:t>je zcela pochopitelné, že mezi členy družstva panují obavy z dalšího vývoje a že na tyto obavy navazují vzájemné výměny názorů</w:t>
      </w:r>
      <w:r w:rsidRPr="00B050A8">
        <w:rPr>
          <w:b/>
          <w:bCs/>
        </w:rPr>
        <w:t>.</w:t>
      </w:r>
      <w:r>
        <w:t xml:space="preserve"> Diskuse probíhající mezi členy družstva jsou všeobecně přirozené a z hlediska základní podstaty družstevního uspořádání je žádoucí, aby probíhaly, neboť v širším kontextu přispívají k naplňování prvku tzv. </w:t>
      </w:r>
      <w:r>
        <w:rPr>
          <w:i/>
        </w:rPr>
        <w:t xml:space="preserve">družstevní </w:t>
      </w:r>
      <w:r>
        <w:rPr>
          <w:i/>
        </w:rPr>
        <w:lastRenderedPageBreak/>
        <w:t>demokracie</w:t>
      </w:r>
      <w:r>
        <w:t xml:space="preserve">. Důvodem pro vyslovení neplatnosti usnesení přijatých členskou schůzí by takové diskuse mohly být zásadně (obecně) </w:t>
      </w:r>
      <w:r w:rsidRPr="00B050A8">
        <w:rPr>
          <w:b/>
          <w:bCs/>
          <w:color w:val="EE0000"/>
        </w:rPr>
        <w:t>jen v případě extrémního (</w:t>
      </w:r>
      <w:r w:rsidRPr="00B050A8">
        <w:rPr>
          <w:b/>
          <w:bCs/>
          <w:i/>
          <w:color w:val="EE0000"/>
        </w:rPr>
        <w:t>excesivního</w:t>
      </w:r>
      <w:r w:rsidRPr="00B050A8">
        <w:rPr>
          <w:b/>
          <w:bCs/>
          <w:color w:val="EE0000"/>
        </w:rPr>
        <w:t>) nátlaku, který však navrhovatel v projednávané věci netvrdí a který [s odkazem na důkaz uvedené v odst. 30(28) tohoto usnesení] nebyl zjištěn</w:t>
      </w:r>
      <w:r>
        <w:t>. K tomu je třeba výslovně uvést, že oním extrémním (</w:t>
      </w:r>
      <w:r>
        <w:rPr>
          <w:i/>
        </w:rPr>
        <w:t>excesivním</w:t>
      </w:r>
      <w:r>
        <w:t xml:space="preserve">) nátlakem není v projednávané věci ani tvrzení některých garážníků, podle nichž mohou členové družstva v budoucnu čelit obdobným obtížím i při případných převodech bytů do vlastnictví členů družstva za zvýhodněných podmínek [viz důkazy uvedené v odst. 30(29) a 30(30) tohoto usnesení]. </w:t>
      </w:r>
      <w:r w:rsidRPr="00B050A8">
        <w:rPr>
          <w:b/>
          <w:bCs/>
        </w:rPr>
        <w:t xml:space="preserve">V kontextu širších souvislostí vývoje vzájemných vztahů družstva a statutárního města Zlín je tato obava logická, lidsky pochopitelná a </w:t>
      </w:r>
      <w:r w:rsidRPr="00A0162F">
        <w:rPr>
          <w:b/>
          <w:bCs/>
          <w:color w:val="EE0000"/>
          <w:highlight w:val="cyan"/>
        </w:rPr>
        <w:t>ve spojitosti s problematikou skrytého rozdělování kapitálu družstva může být právně relevantní</w:t>
      </w:r>
      <w:r w:rsidRPr="00A0162F">
        <w:rPr>
          <w:color w:val="EE0000"/>
          <w:highlight w:val="cyan"/>
        </w:rPr>
        <w:t>.</w:t>
      </w:r>
      <w:r w:rsidRPr="00B050A8">
        <w:rPr>
          <w:color w:val="EE0000"/>
        </w:rPr>
        <w:t xml:space="preserve"> </w:t>
      </w:r>
      <w:r>
        <w:t xml:space="preserve">Lze tak uzavřít, že i kdyby bylo prokázáno, že garážníci žádali, aby zbylí členové družstva podpořili jejich požadavky (ať již přímo, či udělením plných mocí), nemohlo by se v kontextu tvrzení navrhovatele jednat o důvod pro vyslovení neplatnosti napadených usnesení pro rozpor s dobrými mravy ve smyslu § 663 odst. 5 z. o. k. </w:t>
      </w:r>
    </w:p>
    <w:p w14:paraId="2320B7BB" w14:textId="77777777" w:rsidR="00CA220E" w:rsidRDefault="00000000">
      <w:pPr>
        <w:numPr>
          <w:ilvl w:val="0"/>
          <w:numId w:val="10"/>
        </w:numPr>
        <w:ind w:right="0" w:hanging="637"/>
      </w:pPr>
      <w:r>
        <w:t xml:space="preserve">Navrhovatel zpochybňuje platnost napadenému usnesení č. 1 – jako </w:t>
      </w:r>
      <w:r>
        <w:rPr>
          <w:b/>
        </w:rPr>
        <w:t>6. žalobní bod</w:t>
      </w:r>
      <w:r>
        <w:t xml:space="preserve"> – konečně i z toho důvodu, že se toto usnesení stalo </w:t>
      </w:r>
      <w:r>
        <w:rPr>
          <w:i/>
        </w:rPr>
        <w:t>obsoletní</w:t>
      </w:r>
      <w:r>
        <w:t xml:space="preserve">, neboť nebylo realizováno ve lhůtě, kterou samo určuje. Skutečnost, že usnesení členské schůze nebylo realizováno ve lhůtě, která v něm byla stanovena, však není vadou, která by způsobovala neplatnost takového usnesení ve smyslu § 663 odst. 1 věty první z. o. k. Skutečnost, že určité usnesení členské schůze nebylo včas vykonáno, totiž ještě neznamená, že bylo přijato v rozporu s právními předpisy nebo stanovami. </w:t>
      </w:r>
    </w:p>
    <w:p w14:paraId="39353C34" w14:textId="77777777" w:rsidR="00CA220E" w:rsidRDefault="00000000">
      <w:pPr>
        <w:numPr>
          <w:ilvl w:val="0"/>
          <w:numId w:val="10"/>
        </w:numPr>
        <w:ind w:right="0" w:hanging="637"/>
      </w:pPr>
      <w:r>
        <w:t xml:space="preserve">Vyslovení neplatnosti napadených usnesení pro jejich </w:t>
      </w:r>
      <w:proofErr w:type="spellStart"/>
      <w:r>
        <w:rPr>
          <w:i/>
        </w:rPr>
        <w:t>obsoletnost</w:t>
      </w:r>
      <w:proofErr w:type="spellEnd"/>
      <w:r>
        <w:t xml:space="preserve"> pak nemůže obstát ani v souvislostech úpravy § 260 o. z. ve spojení s § 663 odst. 1 věty první z. o. k. </w:t>
      </w:r>
      <w:r w:rsidRPr="00B050A8">
        <w:rPr>
          <w:b/>
          <w:bCs/>
          <w:color w:val="EE0000"/>
        </w:rPr>
        <w:t xml:space="preserve">Tvrdí-li totiž navrhovatel, že se napadené usnesení č. 1 plynutím času pozbylo účinnosti, pak není důvod vyslovovat jeho neplatnost. </w:t>
      </w:r>
      <w:r>
        <w:t xml:space="preserve">I kdyby totiž přijetím napadeného usnesení č. 1 došlo k porušení zákona či stanov, nemělo by to závažné právní následky (navrhovatel žádné důvody, pro něž by bylo třeba vyslovit neplatnost napadeného usnesení č. 1 i poté, kdy se toto usnesení stalo </w:t>
      </w:r>
      <w:r>
        <w:rPr>
          <w:i/>
        </w:rPr>
        <w:t>obsoletní,</w:t>
      </w:r>
      <w:r>
        <w:t xml:space="preserve"> netvrdí). </w:t>
      </w:r>
      <w:r w:rsidRPr="007535A6">
        <w:rPr>
          <w:b/>
          <w:bCs/>
        </w:rPr>
        <w:t>Přitom by bylo v zájmu družstva hodném právní ochrany neplatnost napadeného usnesení č. 1 nevyslovit</w:t>
      </w:r>
      <w:r>
        <w:t xml:space="preserve">. </w:t>
      </w:r>
    </w:p>
    <w:p w14:paraId="4A53645E" w14:textId="77777777" w:rsidR="00CA220E" w:rsidRDefault="00000000">
      <w:pPr>
        <w:numPr>
          <w:ilvl w:val="0"/>
          <w:numId w:val="10"/>
        </w:numPr>
        <w:ind w:right="0" w:hanging="637"/>
      </w:pPr>
      <w:r>
        <w:t xml:space="preserve">Ani tvrzení navrhovatele, podle něhož je napadené usnesení č. 1 </w:t>
      </w:r>
      <w:r>
        <w:rPr>
          <w:i/>
        </w:rPr>
        <w:t>obsoletní</w:t>
      </w:r>
      <w:r>
        <w:t xml:space="preserve"> tedy není a nemůže být důvodem pro vyslovení neplatnosti tohoto usnesení. </w:t>
      </w:r>
      <w:r>
        <w:rPr>
          <w:i/>
        </w:rPr>
        <w:t>c)</w:t>
      </w:r>
      <w:r>
        <w:rPr>
          <w:rFonts w:ascii="Arial" w:eastAsia="Arial" w:hAnsi="Arial" w:cs="Arial"/>
          <w:i/>
        </w:rPr>
        <w:t xml:space="preserve"> </w:t>
      </w:r>
      <w:r>
        <w:rPr>
          <w:i/>
        </w:rPr>
        <w:t xml:space="preserve">Shrnutí </w:t>
      </w:r>
    </w:p>
    <w:p w14:paraId="7C3E3CF1" w14:textId="77777777" w:rsidR="00CA220E" w:rsidRDefault="00000000">
      <w:pPr>
        <w:numPr>
          <w:ilvl w:val="0"/>
          <w:numId w:val="10"/>
        </w:numPr>
        <w:ind w:right="0" w:hanging="637"/>
      </w:pPr>
      <w:r>
        <w:t xml:space="preserve">Krajský soud v Brně neshledal žádný důvod, pro který by se na napadená usnesení hledělo, jako by nebyla přijata a dospěl k závěru, že žádný </w:t>
      </w:r>
      <w:proofErr w:type="gramStart"/>
      <w:r>
        <w:t>z</w:t>
      </w:r>
      <w:proofErr w:type="gramEnd"/>
      <w:r>
        <w:t xml:space="preserve"> navrhovatelem tvrzených důvodů neplatnosti napadených usnesení nebyl uplatněn důvodně. Proto Krajský soud v Brně (výrokem I tohoto usnesení) návrh navrhovatele na zahájení řízení v celém rozsahu zamítl. </w:t>
      </w:r>
      <w:r>
        <w:rPr>
          <w:i/>
        </w:rPr>
        <w:t>d)</w:t>
      </w:r>
      <w:r>
        <w:rPr>
          <w:rFonts w:ascii="Arial" w:eastAsia="Arial" w:hAnsi="Arial" w:cs="Arial"/>
          <w:i/>
        </w:rPr>
        <w:t xml:space="preserve"> </w:t>
      </w:r>
      <w:r>
        <w:rPr>
          <w:i/>
        </w:rPr>
        <w:t xml:space="preserve">K formulaci výroků I tohoto usnesení </w:t>
      </w:r>
    </w:p>
    <w:p w14:paraId="7AB4DEBC" w14:textId="77777777" w:rsidR="00CA220E" w:rsidRDefault="00000000">
      <w:pPr>
        <w:numPr>
          <w:ilvl w:val="0"/>
          <w:numId w:val="10"/>
        </w:numPr>
        <w:ind w:right="0" w:hanging="637"/>
      </w:pPr>
      <w:r>
        <w:t xml:space="preserve">Řízení o vyslovení neplatnosti usnesení členských schůzí družstev je řízením o některých otázkách týkajících se právnických osob a svěřenského fondu [ve smyslu § 2 písm. e) zákona č. 292/2013 Sb., o zvláštních řízeních soudních, ve znění pozdějších předpisů (dále jen </w:t>
      </w:r>
      <w:r>
        <w:rPr>
          <w:i/>
        </w:rPr>
        <w:t>„z. ř. s.“</w:t>
      </w:r>
      <w:r>
        <w:t xml:space="preserve">)] (srov. například usnesení Nejvyššího soudu ze dne 26. 10. 2016, </w:t>
      </w:r>
      <w:proofErr w:type="spellStart"/>
      <w:r>
        <w:t>sp</w:t>
      </w:r>
      <w:proofErr w:type="spellEnd"/>
      <w:r>
        <w:t xml:space="preserve">. zn. 29 </w:t>
      </w:r>
      <w:proofErr w:type="spellStart"/>
      <w:r>
        <w:t>Cdo</w:t>
      </w:r>
      <w:proofErr w:type="spellEnd"/>
      <w:r>
        <w:t xml:space="preserve"> 1817/2016, uveřejněné pod číslem 46/2018 Sb. </w:t>
      </w:r>
      <w:proofErr w:type="spellStart"/>
      <w:r>
        <w:t>rozh</w:t>
      </w:r>
      <w:proofErr w:type="spellEnd"/>
      <w:r>
        <w:t xml:space="preserve">. </w:t>
      </w:r>
      <w:proofErr w:type="spellStart"/>
      <w:r>
        <w:t>obč</w:t>
      </w:r>
      <w:proofErr w:type="spellEnd"/>
      <w:r>
        <w:t xml:space="preserve">.). </w:t>
      </w:r>
    </w:p>
    <w:p w14:paraId="07D1D5CD" w14:textId="77777777" w:rsidR="00CA220E" w:rsidRDefault="00000000">
      <w:pPr>
        <w:numPr>
          <w:ilvl w:val="0"/>
          <w:numId w:val="10"/>
        </w:numPr>
        <w:ind w:right="0" w:hanging="637"/>
      </w:pPr>
      <w:r>
        <w:t xml:space="preserve">Při formulaci výroku I tohoto usnesení soud vycházel z toho, že řízení o vyslovení neplatnosti usnesení členské schůze, jakož i řízení o určení jejich zdánlivosti (nicotnosti) mají totožný předmět (v poměrech německého akciového práva, v němž má česká úprava přezkumu rozhodnutí soukromoprávních korporací předobraz, srov. za všechny například </w:t>
      </w:r>
      <w:proofErr w:type="spellStart"/>
      <w:r>
        <w:rPr>
          <w:i/>
        </w:rPr>
        <w:t>Schäfer</w:t>
      </w:r>
      <w:proofErr w:type="spellEnd"/>
      <w:r>
        <w:t xml:space="preserve"> In: </w:t>
      </w:r>
      <w:proofErr w:type="spellStart"/>
      <w:r>
        <w:t>Goette</w:t>
      </w:r>
      <w:proofErr w:type="spellEnd"/>
      <w:r>
        <w:t>/</w:t>
      </w:r>
      <w:proofErr w:type="spellStart"/>
      <w:r>
        <w:t>Habersack</w:t>
      </w:r>
      <w:proofErr w:type="spellEnd"/>
      <w:r>
        <w:t xml:space="preserve"> </w:t>
      </w:r>
      <w:r>
        <w:lastRenderedPageBreak/>
        <w:t xml:space="preserve">a kol., </w:t>
      </w:r>
      <w:proofErr w:type="spellStart"/>
      <w:r>
        <w:t>Münchener</w:t>
      </w:r>
      <w:proofErr w:type="spellEnd"/>
      <w:r>
        <w:t xml:space="preserve"> </w:t>
      </w:r>
      <w:proofErr w:type="spellStart"/>
      <w:r>
        <w:t>Kommentar</w:t>
      </w:r>
      <w:proofErr w:type="spellEnd"/>
      <w:r>
        <w:t xml:space="preserve"> </w:t>
      </w:r>
      <w:proofErr w:type="spellStart"/>
      <w:r>
        <w:t>zum</w:t>
      </w:r>
      <w:proofErr w:type="spellEnd"/>
      <w:r>
        <w:t xml:space="preserve"> </w:t>
      </w:r>
      <w:proofErr w:type="spellStart"/>
      <w:r>
        <w:t>Aktiengesetz</w:t>
      </w:r>
      <w:proofErr w:type="spellEnd"/>
      <w:r>
        <w:t xml:space="preserve">, Band 4, 5. </w:t>
      </w:r>
      <w:proofErr w:type="spellStart"/>
      <w:r>
        <w:t>Aufl</w:t>
      </w:r>
      <w:proofErr w:type="spellEnd"/>
      <w:r>
        <w:t xml:space="preserve">., </w:t>
      </w:r>
      <w:proofErr w:type="spellStart"/>
      <w:r>
        <w:t>München</w:t>
      </w:r>
      <w:proofErr w:type="spellEnd"/>
      <w:r>
        <w:t xml:space="preserve">, C. H. Beck, 2021, § 246, </w:t>
      </w:r>
      <w:proofErr w:type="spellStart"/>
      <w:r>
        <w:t>marg</w:t>
      </w:r>
      <w:proofErr w:type="spellEnd"/>
      <w:r>
        <w:t xml:space="preserve">. č. 21–23; nebo </w:t>
      </w:r>
      <w:proofErr w:type="spellStart"/>
      <w:r>
        <w:rPr>
          <w:i/>
        </w:rPr>
        <w:t>Vatter</w:t>
      </w:r>
      <w:proofErr w:type="spellEnd"/>
      <w:r>
        <w:t xml:space="preserve"> In: </w:t>
      </w:r>
      <w:proofErr w:type="spellStart"/>
      <w:r>
        <w:t>Stilz</w:t>
      </w:r>
      <w:proofErr w:type="spellEnd"/>
      <w:r>
        <w:t xml:space="preserve">/ </w:t>
      </w:r>
      <w:proofErr w:type="spellStart"/>
      <w:r>
        <w:t>Veil</w:t>
      </w:r>
      <w:proofErr w:type="spellEnd"/>
      <w:r>
        <w:t xml:space="preserve"> a kol., </w:t>
      </w:r>
      <w:proofErr w:type="spellStart"/>
      <w:r>
        <w:t>Aktienrecht</w:t>
      </w:r>
      <w:proofErr w:type="spellEnd"/>
      <w:r>
        <w:t xml:space="preserve">, Band 2, 5. </w:t>
      </w:r>
      <w:proofErr w:type="spellStart"/>
      <w:r>
        <w:t>Aufl</w:t>
      </w:r>
      <w:proofErr w:type="spellEnd"/>
      <w:r>
        <w:t xml:space="preserve">., </w:t>
      </w:r>
      <w:proofErr w:type="spellStart"/>
      <w:r>
        <w:t>München</w:t>
      </w:r>
      <w:proofErr w:type="spellEnd"/>
      <w:r>
        <w:t xml:space="preserve">, C. H. Beck, 2022, § 246, </w:t>
      </w:r>
      <w:proofErr w:type="spellStart"/>
      <w:r>
        <w:t>marg</w:t>
      </w:r>
      <w:proofErr w:type="spellEnd"/>
      <w:r>
        <w:t xml:space="preserve">. č. 6–8; v poměrech společnost s ručením omezeným za všechny například </w:t>
      </w:r>
      <w:proofErr w:type="spellStart"/>
      <w:r>
        <w:rPr>
          <w:i/>
        </w:rPr>
        <w:t>Römermann</w:t>
      </w:r>
      <w:proofErr w:type="spellEnd"/>
      <w:r>
        <w:t xml:space="preserve"> In: </w:t>
      </w:r>
      <w:proofErr w:type="spellStart"/>
      <w:r>
        <w:t>Michalski</w:t>
      </w:r>
      <w:proofErr w:type="spellEnd"/>
      <w:r>
        <w:t>/</w:t>
      </w:r>
      <w:proofErr w:type="spellStart"/>
      <w:r>
        <w:t>Heidinger</w:t>
      </w:r>
      <w:proofErr w:type="spellEnd"/>
      <w:r>
        <w:t>/</w:t>
      </w:r>
      <w:proofErr w:type="spellStart"/>
      <w:r>
        <w:t>Leible</w:t>
      </w:r>
      <w:proofErr w:type="spellEnd"/>
      <w:r>
        <w:t xml:space="preserve">/Schmidt, J. a kol., </w:t>
      </w:r>
      <w:proofErr w:type="spellStart"/>
      <w:r>
        <w:t>Kommentar</w:t>
      </w:r>
      <w:proofErr w:type="spellEnd"/>
      <w:r>
        <w:t xml:space="preserve"> </w:t>
      </w:r>
      <w:proofErr w:type="spellStart"/>
      <w:r>
        <w:t>zum</w:t>
      </w:r>
      <w:proofErr w:type="spellEnd"/>
      <w:r>
        <w:t xml:space="preserve"> </w:t>
      </w:r>
      <w:proofErr w:type="spellStart"/>
      <w:r>
        <w:t>Gesetz</w:t>
      </w:r>
      <w:proofErr w:type="spellEnd"/>
      <w:r>
        <w:t xml:space="preserve"> </w:t>
      </w:r>
      <w:proofErr w:type="spellStart"/>
      <w:r>
        <w:t>betreffend</w:t>
      </w:r>
      <w:proofErr w:type="spellEnd"/>
      <w:r>
        <w:t xml:space="preserve"> </w:t>
      </w:r>
      <w:proofErr w:type="spellStart"/>
      <w:r>
        <w:t>die</w:t>
      </w:r>
      <w:proofErr w:type="spellEnd"/>
      <w:r>
        <w:t xml:space="preserve"> </w:t>
      </w:r>
      <w:proofErr w:type="spellStart"/>
      <w:r>
        <w:t>Gesellschaften</w:t>
      </w:r>
      <w:proofErr w:type="spellEnd"/>
      <w:r>
        <w:t xml:space="preserve"> </w:t>
      </w:r>
      <w:proofErr w:type="spellStart"/>
      <w:r>
        <w:t>mit</w:t>
      </w:r>
      <w:proofErr w:type="spellEnd"/>
      <w:r>
        <w:t xml:space="preserve"> </w:t>
      </w:r>
      <w:proofErr w:type="spellStart"/>
      <w:r>
        <w:t>beschränkter</w:t>
      </w:r>
      <w:proofErr w:type="spellEnd"/>
      <w:r>
        <w:t xml:space="preserve"> </w:t>
      </w:r>
      <w:proofErr w:type="spellStart"/>
      <w:r>
        <w:t>Haftung</w:t>
      </w:r>
      <w:proofErr w:type="spellEnd"/>
      <w:r>
        <w:t xml:space="preserve"> (</w:t>
      </w:r>
      <w:proofErr w:type="spellStart"/>
      <w:r>
        <w:t>GmbH-Gesetz</w:t>
      </w:r>
      <w:proofErr w:type="spellEnd"/>
      <w:r>
        <w:t xml:space="preserve">), 4. </w:t>
      </w:r>
      <w:proofErr w:type="spellStart"/>
      <w:r>
        <w:t>Aufl</w:t>
      </w:r>
      <w:proofErr w:type="spellEnd"/>
      <w:r>
        <w:t xml:space="preserve">., </w:t>
      </w:r>
      <w:proofErr w:type="spellStart"/>
      <w:r>
        <w:t>München</w:t>
      </w:r>
      <w:proofErr w:type="spellEnd"/>
      <w:r>
        <w:t xml:space="preserve">, C. H. Beck, 2023, Anh. § 47, </w:t>
      </w:r>
      <w:proofErr w:type="spellStart"/>
      <w:r>
        <w:t>marg</w:t>
      </w:r>
      <w:proofErr w:type="spellEnd"/>
      <w:r>
        <w:t xml:space="preserve">. č. 487; nebo </w:t>
      </w:r>
      <w:proofErr w:type="spellStart"/>
      <w:r>
        <w:rPr>
          <w:i/>
        </w:rPr>
        <w:t>Wertenbruch</w:t>
      </w:r>
      <w:proofErr w:type="spellEnd"/>
      <w:r>
        <w:t xml:space="preserve"> In: </w:t>
      </w:r>
      <w:proofErr w:type="spellStart"/>
      <w:r>
        <w:t>Fleischer</w:t>
      </w:r>
      <w:proofErr w:type="spellEnd"/>
      <w:r>
        <w:t>/</w:t>
      </w:r>
      <w:proofErr w:type="spellStart"/>
      <w:r>
        <w:t>Goette</w:t>
      </w:r>
      <w:proofErr w:type="spellEnd"/>
      <w:r>
        <w:t xml:space="preserve"> a kol., </w:t>
      </w:r>
      <w:proofErr w:type="spellStart"/>
      <w:r>
        <w:t>Münchener</w:t>
      </w:r>
      <w:proofErr w:type="spellEnd"/>
      <w:r>
        <w:t xml:space="preserve"> </w:t>
      </w:r>
      <w:proofErr w:type="spellStart"/>
      <w:r>
        <w:t>Kommentar</w:t>
      </w:r>
      <w:proofErr w:type="spellEnd"/>
      <w:r>
        <w:t xml:space="preserve"> </w:t>
      </w:r>
      <w:proofErr w:type="spellStart"/>
      <w:r>
        <w:t>zum</w:t>
      </w:r>
      <w:proofErr w:type="spellEnd"/>
      <w:r>
        <w:t xml:space="preserve"> </w:t>
      </w:r>
      <w:proofErr w:type="spellStart"/>
      <w:r>
        <w:t>GmbHG</w:t>
      </w:r>
      <w:proofErr w:type="spellEnd"/>
      <w:r>
        <w:t xml:space="preserve">, Band 2, 4. </w:t>
      </w:r>
      <w:proofErr w:type="spellStart"/>
      <w:r>
        <w:t>Aufl</w:t>
      </w:r>
      <w:proofErr w:type="spellEnd"/>
      <w:r>
        <w:t xml:space="preserve">., </w:t>
      </w:r>
      <w:proofErr w:type="spellStart"/>
      <w:r>
        <w:t>München</w:t>
      </w:r>
      <w:proofErr w:type="spellEnd"/>
      <w:r>
        <w:t xml:space="preserve">, C. H. Beck, 2023, Anh. § 47, </w:t>
      </w:r>
      <w:proofErr w:type="spellStart"/>
      <w:r>
        <w:t>marg</w:t>
      </w:r>
      <w:proofErr w:type="spellEnd"/>
      <w:r>
        <w:t xml:space="preserve">. č. 250–259; nebo v české literatuře v poměrech spolků </w:t>
      </w:r>
      <w:r>
        <w:rPr>
          <w:i/>
        </w:rPr>
        <w:t>Lavický</w:t>
      </w:r>
      <w:r>
        <w:t xml:space="preserve">, Občanský zákoník I, 2. vyd., Praha: C. H. Beck, 2022, § 258, </w:t>
      </w:r>
      <w:proofErr w:type="spellStart"/>
      <w:r>
        <w:t>marg</w:t>
      </w:r>
      <w:proofErr w:type="spellEnd"/>
      <w:r>
        <w:t xml:space="preserve">. č. 101). Tomu ostatně nasvědčuje i dikce § 90 odst. 1 z. ř. s. </w:t>
      </w:r>
    </w:p>
    <w:p w14:paraId="1803C48F" w14:textId="77777777" w:rsidR="00CA220E" w:rsidRDefault="00000000">
      <w:pPr>
        <w:numPr>
          <w:ilvl w:val="0"/>
          <w:numId w:val="10"/>
        </w:numPr>
        <w:ind w:right="0" w:hanging="637"/>
      </w:pPr>
      <w:r>
        <w:t xml:space="preserve">V rámci své argumentace navrhovatel namítl, že členské schůze nenáleželo o napadených usneseních rozhodovat, neboť družstvo není výlučným vlastníkem bytových domů. Vedle toho navrhovatel </w:t>
      </w:r>
      <w:r>
        <w:rPr>
          <w:i/>
        </w:rPr>
        <w:t>„vyzval“</w:t>
      </w:r>
      <w:r>
        <w:t xml:space="preserve"> soud, aby se (z úřední povinnosti) zabýval i navrhovatelem tvrzenou neurčitostí a nesrozumitelností napadených usnesení. </w:t>
      </w:r>
      <w:r w:rsidRPr="00B050A8">
        <w:rPr>
          <w:b/>
          <w:bCs/>
        </w:rPr>
        <w:t xml:space="preserve">Obě tyto námitky navrhovatele by (v případě jejich důvodnosti) nezpůsobovaly neplatnost napadených usnesení, </w:t>
      </w:r>
      <w:r w:rsidRPr="00B050A8">
        <w:rPr>
          <w:b/>
          <w:bCs/>
          <w:color w:val="EE0000"/>
        </w:rPr>
        <w:t>nýbrž to, že by se na napadená usnesení hledělo, jako by nebyla přijata</w:t>
      </w:r>
      <w:r w:rsidRPr="00B050A8">
        <w:rPr>
          <w:color w:val="EE0000"/>
        </w:rPr>
        <w:t xml:space="preserve"> (</w:t>
      </w:r>
      <w:r>
        <w:t xml:space="preserve">ve smyslu § 245 o. z. ve spojení s § 45 odst. 1 a 2 z. o. k.).  </w:t>
      </w:r>
    </w:p>
    <w:p w14:paraId="6398666F" w14:textId="77777777" w:rsidR="00CA220E" w:rsidRDefault="00000000">
      <w:pPr>
        <w:numPr>
          <w:ilvl w:val="0"/>
          <w:numId w:val="10"/>
        </w:numPr>
        <w:spacing w:after="366"/>
        <w:ind w:right="0" w:hanging="637"/>
      </w:pPr>
      <w:r>
        <w:t xml:space="preserve">Krajský soud v Brně proto pro úplnost uvádí, že zamítl-li (výrokem I tohoto usnesení) v celém rozsahu návrh navrhovatele na vyslovení neplatnosti napadených usnesení, byl tím procesní nárok zcela vyčerpán, a tak již není třeba rozhodovat (samostatným výrokem) o namítaných důvodech pro něž by se na napadená usnesení hledělo, jako by nebyla přijata. Z § 90 odst. 1 z. ř. s. se ostatně podává, že v řízení o vyslovení neplatnosti rozhodnutí orgánu právnické osoby rozhodne soud o tom, že o rozhodnutí orgánu právnické osoby nejde, hledí-li se na něj, jako by nebylo přijato, i bez návrhu. Krajský soud v Brně však v projednávané věci – jak již bylo uvedeno – důvody, pro něž by se na napadená usnesení hledělo, jako by nebyla přijata, neshledal. </w:t>
      </w:r>
    </w:p>
    <w:p w14:paraId="689E8AE9" w14:textId="77777777" w:rsidR="00CA220E" w:rsidRDefault="00000000">
      <w:pPr>
        <w:spacing w:after="229" w:line="260" w:lineRule="auto"/>
        <w:ind w:left="646" w:hanging="10"/>
        <w:jc w:val="center"/>
      </w:pPr>
      <w:r>
        <w:rPr>
          <w:b/>
        </w:rPr>
        <w:t>V.</w:t>
      </w:r>
      <w:r>
        <w:rPr>
          <w:rFonts w:ascii="Arial" w:eastAsia="Arial" w:hAnsi="Arial" w:cs="Arial"/>
          <w:b/>
        </w:rPr>
        <w:t xml:space="preserve"> </w:t>
      </w:r>
      <w:r>
        <w:rPr>
          <w:b/>
        </w:rPr>
        <w:t xml:space="preserve">Náhrada nákladů řízení </w:t>
      </w:r>
    </w:p>
    <w:p w14:paraId="2543FDA3" w14:textId="77777777" w:rsidR="00CA220E" w:rsidRDefault="00000000">
      <w:pPr>
        <w:numPr>
          <w:ilvl w:val="0"/>
          <w:numId w:val="10"/>
        </w:numPr>
        <w:ind w:right="0" w:hanging="637"/>
      </w:pPr>
      <w:r>
        <w:t xml:space="preserve">Výrok o náhradě nákladů řízení se opírá o § 142 odst. 1 o. s. ř. ve spojení s § 1 odst. 3 z ř. s. Řízení o vyslovení neplatnosti usnesení členské schůze lze zahájit pouze na návrh (§ 13 odst. 1 věta první z. ř. s., § 663 odst. 1 z. o. k.) (srov. například usnesení Nejvyššího soudu ze dne 26. 10. 2016, </w:t>
      </w:r>
      <w:proofErr w:type="spellStart"/>
      <w:r>
        <w:t>sp</w:t>
      </w:r>
      <w:proofErr w:type="spellEnd"/>
      <w:r>
        <w:t xml:space="preserve">. zn. 29 </w:t>
      </w:r>
      <w:proofErr w:type="spellStart"/>
      <w:r>
        <w:t>Cdo</w:t>
      </w:r>
      <w:proofErr w:type="spellEnd"/>
      <w:r>
        <w:t xml:space="preserve"> 1817/2016, uveřejněné pod číslem 46/2018 Sb. </w:t>
      </w:r>
      <w:proofErr w:type="spellStart"/>
      <w:r>
        <w:t>rozh</w:t>
      </w:r>
      <w:proofErr w:type="spellEnd"/>
      <w:r>
        <w:t xml:space="preserve">. </w:t>
      </w:r>
      <w:proofErr w:type="spellStart"/>
      <w:r>
        <w:t>obč</w:t>
      </w:r>
      <w:proofErr w:type="spellEnd"/>
      <w:r>
        <w:t xml:space="preserve">.); a tak se v tomto řízení neprosadí § 23 z. ř. s. </w:t>
      </w:r>
    </w:p>
    <w:p w14:paraId="3C662CC2" w14:textId="77777777" w:rsidR="00CA220E" w:rsidRDefault="00000000">
      <w:pPr>
        <w:numPr>
          <w:ilvl w:val="0"/>
          <w:numId w:val="10"/>
        </w:numPr>
        <w:ind w:right="0" w:hanging="637"/>
      </w:pPr>
      <w:r>
        <w:t xml:space="preserve">Družstvo mělo ve věci plný úspěch, a tak mu vzniklo právo na náhradu účelně vynaložených nákladů řízení. Proto soud navrhovateli (výrokem II tohoto usnesení) </w:t>
      </w:r>
      <w:r w:rsidRPr="00B050A8">
        <w:rPr>
          <w:b/>
          <w:bCs/>
        </w:rPr>
        <w:t xml:space="preserve">uložil povinnost zaplatit družstvu do 3 dnů od právní moci tohoto usnesení náklady řízení ve výši </w:t>
      </w:r>
      <w:r w:rsidRPr="00B050A8">
        <w:rPr>
          <w:b/>
          <w:bCs/>
          <w:color w:val="EE0000"/>
          <w:highlight w:val="yellow"/>
        </w:rPr>
        <w:t>154 087,45 Kč</w:t>
      </w:r>
      <w:r w:rsidRPr="00B050A8">
        <w:rPr>
          <w:b/>
          <w:bCs/>
          <w:highlight w:val="yellow"/>
        </w:rPr>
        <w:t>.</w:t>
      </w:r>
      <w:r>
        <w:t xml:space="preserve"> </w:t>
      </w:r>
    </w:p>
    <w:p w14:paraId="36CFE073" w14:textId="77777777" w:rsidR="00CA220E" w:rsidRDefault="00000000">
      <w:pPr>
        <w:numPr>
          <w:ilvl w:val="0"/>
          <w:numId w:val="10"/>
        </w:numPr>
        <w:ind w:right="0" w:hanging="637"/>
      </w:pPr>
      <w:r>
        <w:t xml:space="preserve">Účelně vynaložené náklady řízení družstva sestávají z odměny advokáta družstva ve výši 119 095 Kč: </w:t>
      </w:r>
    </w:p>
    <w:p w14:paraId="5FE26AAD" w14:textId="77777777" w:rsidR="00CA220E" w:rsidRDefault="00000000">
      <w:pPr>
        <w:ind w:left="1352" w:right="0" w:hanging="358"/>
      </w:pPr>
      <w:r>
        <w:t>(1)</w:t>
      </w:r>
      <w:r>
        <w:rPr>
          <w:rFonts w:ascii="Arial" w:eastAsia="Arial" w:hAnsi="Arial" w:cs="Arial"/>
        </w:rPr>
        <w:t xml:space="preserve"> </w:t>
      </w:r>
      <w:r>
        <w:t xml:space="preserve">za 20 celých úkonů a 1 poloviční úkon právní služby ve výši 110 170 Kč podle § 7 bodu 5 ve spojení s § 9 odst. 4 písm. c) vyhlášky Ministerstva spravedlnosti č. 177/1996 Sb., o odměnách advokátů a náhradách advokátů za poskytování právních služeb (dále též jen </w:t>
      </w:r>
      <w:r>
        <w:rPr>
          <w:i/>
        </w:rPr>
        <w:t>„advokátní tarif“</w:t>
      </w:r>
      <w:r>
        <w:t xml:space="preserve">), ve znění do 31. 12. 2024, resp. ve spojení s § 9 odst. 4 písm. b) advokátního tarifu ve znění od 1. 1. 2025, a sice: </w:t>
      </w:r>
    </w:p>
    <w:p w14:paraId="0C2352F5" w14:textId="77777777" w:rsidR="00CA220E" w:rsidRDefault="00000000">
      <w:pPr>
        <w:numPr>
          <w:ilvl w:val="3"/>
          <w:numId w:val="11"/>
        </w:numPr>
        <w:ind w:right="0" w:hanging="511"/>
      </w:pPr>
      <w:r>
        <w:t xml:space="preserve">1 x převzetí a příprava zastoupení (26. 6. 2024) podle § 11 odst. 1 písm. a) advokátního tarifu ve znění do 31. 12. 2024 ve výši 3 100 Kč, </w:t>
      </w:r>
    </w:p>
    <w:p w14:paraId="423227E4" w14:textId="77777777" w:rsidR="00CA220E" w:rsidRDefault="00000000">
      <w:pPr>
        <w:numPr>
          <w:ilvl w:val="3"/>
          <w:numId w:val="11"/>
        </w:numPr>
        <w:ind w:right="0" w:hanging="511"/>
      </w:pPr>
      <w:r>
        <w:lastRenderedPageBreak/>
        <w:t xml:space="preserve">1 x písemné podání (24. 7. 2024) podle § 11 odst. 1 písm. d) advokátního tarifu ve znění do 31. 12. 2024 ve výši 3 100 Kč, </w:t>
      </w:r>
    </w:p>
    <w:p w14:paraId="19313A16" w14:textId="77777777" w:rsidR="00CA220E" w:rsidRDefault="00000000">
      <w:pPr>
        <w:numPr>
          <w:ilvl w:val="3"/>
          <w:numId w:val="11"/>
        </w:numPr>
        <w:ind w:right="0" w:hanging="511"/>
      </w:pPr>
      <w:r>
        <w:t xml:space="preserve">1 x písemné podání (21. 1. 2025) podle § 11 odst. 1 písm. d) advokátního tarifu ve znění od 1. 1. 2025 ve výši 5 620 Kč, </w:t>
      </w:r>
    </w:p>
    <w:p w14:paraId="108E12D2" w14:textId="77777777" w:rsidR="00CA220E" w:rsidRDefault="00000000">
      <w:pPr>
        <w:numPr>
          <w:ilvl w:val="3"/>
          <w:numId w:val="11"/>
        </w:numPr>
        <w:ind w:right="0" w:hanging="511"/>
      </w:pPr>
      <w:r>
        <w:t xml:space="preserve">1 x další porada klientem přesahující 1 hodinu (28. 1. 2025) podle § 11 odst. 1 písm. c) advokátního tarifu ve znění od 1. 1. 2025 ve výši 5 620 Kč, </w:t>
      </w:r>
    </w:p>
    <w:p w14:paraId="3574B7F0" w14:textId="77777777" w:rsidR="00CA220E" w:rsidRDefault="00000000">
      <w:pPr>
        <w:numPr>
          <w:ilvl w:val="3"/>
          <w:numId w:val="11"/>
        </w:numPr>
        <w:ind w:right="0" w:hanging="511"/>
      </w:pPr>
      <w:r>
        <w:t xml:space="preserve">1 x účast na jednání před soudem v délce přesahující 2 hodiny (30. 1. 2025) podle § 11 odst. 1 písm. g) advokátního tarifu ve znění od 1. 1. 2025 ve výši 2 x 5 620 Kč, </w:t>
      </w:r>
    </w:p>
    <w:p w14:paraId="59C14E20" w14:textId="77777777" w:rsidR="00CA220E" w:rsidRDefault="00000000">
      <w:pPr>
        <w:numPr>
          <w:ilvl w:val="3"/>
          <w:numId w:val="11"/>
        </w:numPr>
        <w:ind w:right="0" w:hanging="511"/>
      </w:pPr>
      <w:r>
        <w:t xml:space="preserve">1 x písemné podání (13. 3. 2025) podle § 11 odst. 1 písm. d) advokátního tarifu ve znění od 1. 1. 2025 ve výši 5 620 Kč, </w:t>
      </w:r>
    </w:p>
    <w:p w14:paraId="67DEF697" w14:textId="77777777" w:rsidR="00CA220E" w:rsidRDefault="00000000">
      <w:pPr>
        <w:numPr>
          <w:ilvl w:val="3"/>
          <w:numId w:val="11"/>
        </w:numPr>
        <w:ind w:right="0" w:hanging="511"/>
      </w:pPr>
      <w:r>
        <w:t xml:space="preserve">1 x další porada klientem přesahující 1 hodinu (26. 3. 2025) podle § 11 odst. 1 písm. c) advokátního tarifu ve znění od 1. 1. 2025 ve výši 5 620 Kč, </w:t>
      </w:r>
    </w:p>
    <w:p w14:paraId="6FA6FE4E" w14:textId="77777777" w:rsidR="00CA220E" w:rsidRDefault="00000000">
      <w:pPr>
        <w:numPr>
          <w:ilvl w:val="3"/>
          <w:numId w:val="11"/>
        </w:numPr>
        <w:ind w:right="0" w:hanging="511"/>
      </w:pPr>
      <w:r>
        <w:t xml:space="preserve">1 x účast na jednání před soudem v délce přesahující 2 hodiny (27. 3. 2025) podle § 11 odst. 1 písm. g) advokátního tarifu ve znění od 1. 1. 2025 ve výši 2 x 5 620 Kč, </w:t>
      </w:r>
    </w:p>
    <w:p w14:paraId="7476F569" w14:textId="77777777" w:rsidR="00CA220E" w:rsidRDefault="00000000">
      <w:pPr>
        <w:numPr>
          <w:ilvl w:val="3"/>
          <w:numId w:val="11"/>
        </w:numPr>
        <w:ind w:right="0" w:hanging="511"/>
      </w:pPr>
      <w:r>
        <w:t xml:space="preserve">1 x písemné podání (2. 5. 2025) podle § 11 odst. 1 písm. d) advokátního tarifu ve znění od 1. 1. 2025 ve výši 5 620 Kč, </w:t>
      </w:r>
    </w:p>
    <w:p w14:paraId="12B1BFBF" w14:textId="77777777" w:rsidR="00CA220E" w:rsidRDefault="00000000">
      <w:pPr>
        <w:numPr>
          <w:ilvl w:val="3"/>
          <w:numId w:val="11"/>
        </w:numPr>
        <w:ind w:right="0" w:hanging="511"/>
      </w:pPr>
      <w:r>
        <w:t xml:space="preserve">1 x další porada klientem přesahující 1 hodinu (4. 6. 2025) podle § 11 odst. 1 písm. c) advokátního tarifu ve znění od 1. 1. 2025 ve výši 5 620 Kč, </w:t>
      </w:r>
    </w:p>
    <w:p w14:paraId="4815CCF1" w14:textId="77777777" w:rsidR="00CA220E" w:rsidRDefault="00000000">
      <w:pPr>
        <w:numPr>
          <w:ilvl w:val="3"/>
          <w:numId w:val="11"/>
        </w:numPr>
        <w:ind w:right="0" w:hanging="511"/>
      </w:pPr>
      <w:r>
        <w:t xml:space="preserve">1 x účast na jednání před soudem, při kterém došlo pouze k odročení jednání (5. 6. 2025), podle § 11 odst. 2 písm. f) </w:t>
      </w:r>
      <w:r>
        <w:rPr>
          <w:i/>
        </w:rPr>
        <w:t xml:space="preserve">per </w:t>
      </w:r>
      <w:proofErr w:type="spellStart"/>
      <w:r>
        <w:rPr>
          <w:i/>
        </w:rPr>
        <w:t>analogiam</w:t>
      </w:r>
      <w:proofErr w:type="spellEnd"/>
      <w:r>
        <w:t xml:space="preserve"> advokátního tarifu ve znění od 1. 1. 2025 ve výši 2 810 Kč, </w:t>
      </w:r>
    </w:p>
    <w:p w14:paraId="07640921" w14:textId="77777777" w:rsidR="00CA220E" w:rsidRDefault="00000000">
      <w:pPr>
        <w:numPr>
          <w:ilvl w:val="3"/>
          <w:numId w:val="11"/>
        </w:numPr>
        <w:ind w:right="0" w:hanging="511"/>
      </w:pPr>
      <w:r>
        <w:t xml:space="preserve">1 x písemné podání (3. 9. 2025) podle § 11 odst. 1 písm. d) advokátního tarifu ve znění od 1. 1. 2025 ve výši 5 620 Kč, </w:t>
      </w:r>
    </w:p>
    <w:p w14:paraId="23BEE6B8" w14:textId="77777777" w:rsidR="00CA220E" w:rsidRDefault="00000000">
      <w:pPr>
        <w:numPr>
          <w:ilvl w:val="3"/>
          <w:numId w:val="11"/>
        </w:numPr>
        <w:ind w:right="0" w:hanging="511"/>
      </w:pPr>
      <w:r>
        <w:t xml:space="preserve">1 x další porada klientem přesahující 1 hodinu (4. 9. 2025) podle § 11 odst. 1 písm. c) advokátního tarifu ve znění od 1. 1. 2025 ve výši 5 620 Kč, </w:t>
      </w:r>
    </w:p>
    <w:p w14:paraId="6DA5EF5E" w14:textId="77777777" w:rsidR="00CA220E" w:rsidRDefault="00000000">
      <w:pPr>
        <w:numPr>
          <w:ilvl w:val="3"/>
          <w:numId w:val="11"/>
        </w:numPr>
        <w:ind w:right="0" w:hanging="511"/>
      </w:pPr>
      <w:r>
        <w:t xml:space="preserve">1 x účast na jednání před soudem v délce přesahující 2 hodiny (5. 9. 2025) podle § 11 odst. 1 písm. g) advokátního tarifu ve znění od 1. 1. 2025 ve výši 2 x 5 620 Kč, </w:t>
      </w:r>
    </w:p>
    <w:p w14:paraId="11DCD0C7" w14:textId="77777777" w:rsidR="00CA220E" w:rsidRDefault="00000000">
      <w:pPr>
        <w:numPr>
          <w:ilvl w:val="3"/>
          <w:numId w:val="11"/>
        </w:numPr>
        <w:ind w:right="0" w:hanging="511"/>
      </w:pPr>
      <w:r>
        <w:t xml:space="preserve">1 x písemné podání (15. 11. 2025) podle § 11 odst. 1 písm. d) advokátního tarifu ve znění od 1. 1. 2025 ve výši 5 620 Kč, </w:t>
      </w:r>
    </w:p>
    <w:p w14:paraId="5F421DDC" w14:textId="77777777" w:rsidR="00CA220E" w:rsidRDefault="00000000">
      <w:pPr>
        <w:numPr>
          <w:ilvl w:val="3"/>
          <w:numId w:val="11"/>
        </w:numPr>
        <w:spacing w:after="0"/>
        <w:ind w:right="0" w:hanging="511"/>
      </w:pPr>
      <w:r>
        <w:t xml:space="preserve">1 x účast na jednání před soudem v délce přesahující 2 hodiny (11. 12. 2025) podle § 11 odst. 1 písm. g) advokátního tarifu ve znění od 1. 1. 2025 ve výši </w:t>
      </w:r>
    </w:p>
    <w:p w14:paraId="06806A46" w14:textId="77777777" w:rsidR="00CA220E" w:rsidRDefault="00000000">
      <w:pPr>
        <w:ind w:left="1325" w:right="0" w:firstLine="565"/>
      </w:pPr>
      <w:r>
        <w:t xml:space="preserve">2 x 5 620 Kč, </w:t>
      </w:r>
      <w:proofErr w:type="spellStart"/>
      <w:r>
        <w:t>xvii</w:t>
      </w:r>
      <w:proofErr w:type="spellEnd"/>
      <w:r>
        <w:t>.</w:t>
      </w:r>
      <w:r>
        <w:rPr>
          <w:rFonts w:ascii="Arial" w:eastAsia="Arial" w:hAnsi="Arial" w:cs="Arial"/>
        </w:rPr>
        <w:t xml:space="preserve"> </w:t>
      </w:r>
      <w:r>
        <w:t xml:space="preserve">1 x další porada klientem přesahující 1 hodinu (16. 12. 2025) podle § 11 odst. 1 písm. c) advokátního tarifu ve znění od 1. 1. 2025 ve výši 5 620 Kč, </w:t>
      </w:r>
    </w:p>
    <w:p w14:paraId="0779C1BF" w14:textId="77777777" w:rsidR="00CA220E" w:rsidRDefault="00000000">
      <w:pPr>
        <w:ind w:left="1352" w:right="0" w:hanging="358"/>
      </w:pPr>
      <w:r>
        <w:t>(2)</w:t>
      </w:r>
      <w:r>
        <w:rPr>
          <w:rFonts w:ascii="Arial" w:eastAsia="Arial" w:hAnsi="Arial" w:cs="Arial"/>
        </w:rPr>
        <w:t xml:space="preserve"> </w:t>
      </w:r>
      <w:r>
        <w:t xml:space="preserve">náhrady paušálních výdajů ve výši 8 925 Kč za 2 úkony právní služby ve výši 2 x 300 Kč podle § 13 odst. 4 advokátního tarifu ve znění do 31. 12. 2024 (jednak za převzetí a přípravu zastoupení a jednak za písemné podání z 24. 7. 2024), ve výši 1 x 225 Kč podle § 13 odst. 4 advokátního tarifu ve znění od 1. 1. 2025 (za účast na jednání 5. 6. 2025) a ve výši 18 x 450 Kč podle § 13 odst. 4 advokátního tarifu ve znění od 1. 1. 2025 (za zbývající úkony právní služby). </w:t>
      </w:r>
    </w:p>
    <w:p w14:paraId="650A6658" w14:textId="77777777" w:rsidR="00CA220E" w:rsidRDefault="00000000">
      <w:pPr>
        <w:numPr>
          <w:ilvl w:val="0"/>
          <w:numId w:val="10"/>
        </w:numPr>
        <w:ind w:right="0" w:hanging="637"/>
      </w:pPr>
      <w:r>
        <w:lastRenderedPageBreak/>
        <w:t xml:space="preserve">Účelně vynaložené náklady řízení družstva zahrnují také náhradu za promeškaný čas zástupce družstva v souvislosti s poskytnutím právních služeb v celkové výši 8 250 Kč za 5 cest ze sídla advokáta družstva na jednání konaná 30. 1. 2025, 27. 3. 2025, 5. 6. 2025, 5. 9. 2025 a 11. 12. 2025, </w:t>
      </w:r>
    </w:p>
    <w:p w14:paraId="5B053361" w14:textId="77777777" w:rsidR="00CA220E" w:rsidRDefault="00000000">
      <w:pPr>
        <w:numPr>
          <w:ilvl w:val="1"/>
          <w:numId w:val="10"/>
        </w:numPr>
        <w:ind w:right="0" w:firstLine="0"/>
      </w:pPr>
      <w:r>
        <w:t xml:space="preserve">zpět. Při celkové délce 1 cesty 2 hodiny 40 minut činí náhrada za promeškaný čas (podle § 14 advokátního tarifu ve znění od 1. 1. 2025) 55 x 150 Kč (za 5 x 11 započatých půlhodin). </w:t>
      </w:r>
    </w:p>
    <w:p w14:paraId="71910247" w14:textId="77777777" w:rsidR="00CA220E" w:rsidRDefault="00000000">
      <w:pPr>
        <w:numPr>
          <w:ilvl w:val="0"/>
          <w:numId w:val="10"/>
        </w:numPr>
        <w:ind w:right="0" w:hanging="637"/>
      </w:pPr>
      <w:r>
        <w:t xml:space="preserve">Účelně vynaložené náklady řízení tvoří konečně i náhrada za 21% daň z přidané hodnoty (§ 137 odst. 3 o. s. ř.) v celkové výši 26 742,45 Kč. </w:t>
      </w:r>
    </w:p>
    <w:p w14:paraId="6311492A" w14:textId="77777777" w:rsidR="00CA220E" w:rsidRDefault="00000000">
      <w:pPr>
        <w:numPr>
          <w:ilvl w:val="0"/>
          <w:numId w:val="10"/>
        </w:numPr>
        <w:ind w:right="0" w:hanging="637"/>
      </w:pPr>
      <w:r>
        <w:t xml:space="preserve">Podle článek II vyhlášky č. 258/2024 Sb., kterou se mění advokátní tarif, ve znění pozdějších předpisů, za právní služby poskytnuté přede dnem nabytí účinnosti této vyhlášky přísluší advokátovi odměna podle vyhlášky č. 177/1996 Sb., ve znění účinném přede dnem nabytí účinnosti této vyhlášky. Ve vztahu k úkonům právní služby, které byly učiněny před 1. 1. 2025, tak soud při stanovení výše odměny advokátky postupoval podle advokátního tarifu ve znění do 31. 12. 2024 a ve vztahu k úkonům právní služby, které byly učiněny po 1. 1. 2025, soud postupoval podle advokátního tarifu ve znění od 1. 1. 2025. </w:t>
      </w:r>
    </w:p>
    <w:p w14:paraId="2930B556" w14:textId="77777777" w:rsidR="00CA220E" w:rsidRDefault="00000000">
      <w:pPr>
        <w:numPr>
          <w:ilvl w:val="0"/>
          <w:numId w:val="10"/>
        </w:numPr>
        <w:spacing w:after="229"/>
        <w:ind w:right="0" w:hanging="637"/>
      </w:pPr>
      <w:r>
        <w:t xml:space="preserve">Jelikož je družstvo zastoupeno advokátem, uložil soud navrhovateli, aby náhradu nákladů řízení zaplatil zástupci družstva (podle § 149 odst. 1 o. s. ř. ve spojení s § 1 odst. 3 z. ř. s.). </w:t>
      </w:r>
    </w:p>
    <w:p w14:paraId="4CA97F5B" w14:textId="77777777" w:rsidR="00CA220E" w:rsidRDefault="00000000">
      <w:pPr>
        <w:spacing w:after="229" w:line="260" w:lineRule="auto"/>
        <w:ind w:left="646" w:hanging="10"/>
        <w:jc w:val="center"/>
      </w:pPr>
      <w:r>
        <w:rPr>
          <w:b/>
        </w:rPr>
        <w:t>Poučení:</w:t>
      </w:r>
      <w:r>
        <w:t xml:space="preserve"> </w:t>
      </w:r>
    </w:p>
    <w:p w14:paraId="1D879B1B" w14:textId="77777777" w:rsidR="00CA220E" w:rsidRDefault="00000000">
      <w:pPr>
        <w:spacing w:after="229"/>
        <w:ind w:left="637" w:right="0" w:firstLine="0"/>
      </w:pPr>
      <w:r>
        <w:t xml:space="preserve">Proti tomuto usnesení je možné podat odvolání do 15 dnů ode dne jeho doručení, a to k Vrchnímu soudu v Olomouci prostřednictvím Krajského soudu v Brně. </w:t>
      </w:r>
    </w:p>
    <w:p w14:paraId="76561480" w14:textId="77777777" w:rsidR="00CA220E" w:rsidRDefault="00000000">
      <w:pPr>
        <w:spacing w:after="229"/>
        <w:ind w:left="637" w:right="0" w:firstLine="0"/>
      </w:pPr>
      <w:r>
        <w:t xml:space="preserve">Nesplní-li povinný dobrovolně tímto usnesením uložené povinnosti, může se oprávněný domáhat nařízení výkonu rozhodnutí nebo exekuce. </w:t>
      </w:r>
    </w:p>
    <w:p w14:paraId="5F5D6D75" w14:textId="77777777" w:rsidR="00CA220E" w:rsidRDefault="00000000">
      <w:pPr>
        <w:spacing w:after="226"/>
        <w:ind w:left="637" w:right="0" w:firstLine="0"/>
      </w:pPr>
      <w:r>
        <w:t xml:space="preserve">Brno 18. 12. 2025 </w:t>
      </w:r>
    </w:p>
    <w:p w14:paraId="1E3CFE31" w14:textId="77777777" w:rsidR="00CA220E" w:rsidRDefault="00000000">
      <w:pPr>
        <w:spacing w:after="10"/>
        <w:ind w:left="637" w:right="0" w:firstLine="0"/>
      </w:pPr>
      <w:r>
        <w:t xml:space="preserve">Mgr. Ing. Radek </w:t>
      </w:r>
      <w:proofErr w:type="spellStart"/>
      <w:r>
        <w:t>Ruban</w:t>
      </w:r>
      <w:proofErr w:type="spellEnd"/>
      <w:r>
        <w:t xml:space="preserve">, Ph.D., v.r. </w:t>
      </w:r>
    </w:p>
    <w:p w14:paraId="24F06BBA" w14:textId="77777777" w:rsidR="00CA220E" w:rsidRDefault="00000000">
      <w:pPr>
        <w:ind w:left="637" w:right="0" w:firstLine="0"/>
      </w:pPr>
      <w:r>
        <w:t>samosoudce</w:t>
      </w:r>
      <w:r>
        <w:rPr>
          <w:rFonts w:ascii="Times New Roman" w:eastAsia="Times New Roman" w:hAnsi="Times New Roman" w:cs="Times New Roman"/>
          <w:sz w:val="20"/>
        </w:rPr>
        <w:t xml:space="preserve"> </w:t>
      </w:r>
    </w:p>
    <w:sectPr w:rsidR="00CA220E">
      <w:headerReference w:type="even" r:id="rId13"/>
      <w:headerReference w:type="default" r:id="rId14"/>
      <w:footerReference w:type="even" r:id="rId15"/>
      <w:footerReference w:type="default" r:id="rId16"/>
      <w:headerReference w:type="first" r:id="rId17"/>
      <w:footerReference w:type="first" r:id="rId18"/>
      <w:pgSz w:w="11906" w:h="16838"/>
      <w:pgMar w:top="1569" w:right="1415" w:bottom="1938" w:left="780" w:header="1069" w:footer="119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A7C4F" w14:textId="77777777" w:rsidR="0005075D" w:rsidRDefault="0005075D">
      <w:pPr>
        <w:spacing w:after="0" w:line="240" w:lineRule="auto"/>
      </w:pPr>
      <w:r>
        <w:separator/>
      </w:r>
    </w:p>
  </w:endnote>
  <w:endnote w:type="continuationSeparator" w:id="0">
    <w:p w14:paraId="73D91EDF" w14:textId="77777777" w:rsidR="0005075D" w:rsidRDefault="000507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56768" w14:textId="77777777" w:rsidR="00CA220E" w:rsidRDefault="00000000">
    <w:pPr>
      <w:spacing w:after="99" w:line="259" w:lineRule="auto"/>
      <w:ind w:left="635" w:right="0" w:firstLine="0"/>
      <w:jc w:val="left"/>
    </w:pPr>
    <w:r>
      <w:rPr>
        <w:rFonts w:ascii="Times New Roman" w:eastAsia="Times New Roman" w:hAnsi="Times New Roman" w:cs="Times New Roman"/>
        <w:sz w:val="20"/>
      </w:rPr>
      <w:t xml:space="preserve">Shodu s prvopisem potvrzuje Michaela </w:t>
    </w:r>
    <w:proofErr w:type="spellStart"/>
    <w:r>
      <w:rPr>
        <w:rFonts w:ascii="Times New Roman" w:eastAsia="Times New Roman" w:hAnsi="Times New Roman" w:cs="Times New Roman"/>
        <w:sz w:val="20"/>
      </w:rPr>
      <w:t>Tahalová</w:t>
    </w:r>
    <w:proofErr w:type="spellEnd"/>
    <w:r>
      <w:rPr>
        <w:rFonts w:ascii="Times New Roman" w:eastAsia="Times New Roman" w:hAnsi="Times New Roman" w:cs="Times New Roman"/>
        <w:sz w:val="20"/>
      </w:rPr>
      <w:t xml:space="preserve">. </w:t>
    </w:r>
  </w:p>
  <w:p w14:paraId="31FCCBEF" w14:textId="77777777" w:rsidR="00CA220E" w:rsidRDefault="00000000">
    <w:pPr>
      <w:spacing w:after="0" w:line="259" w:lineRule="auto"/>
      <w:ind w:left="635" w:right="0" w:firstLine="0"/>
      <w:jc w:val="left"/>
    </w:pP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B8426" w14:textId="77777777" w:rsidR="00CA220E" w:rsidRDefault="00000000">
    <w:pPr>
      <w:spacing w:after="99" w:line="259" w:lineRule="auto"/>
      <w:ind w:left="635" w:right="0" w:firstLine="0"/>
      <w:jc w:val="left"/>
    </w:pPr>
    <w:r>
      <w:rPr>
        <w:rFonts w:ascii="Times New Roman" w:eastAsia="Times New Roman" w:hAnsi="Times New Roman" w:cs="Times New Roman"/>
        <w:sz w:val="20"/>
      </w:rPr>
      <w:t xml:space="preserve">Shodu s prvopisem potvrzuje Michaela </w:t>
    </w:r>
    <w:proofErr w:type="spellStart"/>
    <w:r>
      <w:rPr>
        <w:rFonts w:ascii="Times New Roman" w:eastAsia="Times New Roman" w:hAnsi="Times New Roman" w:cs="Times New Roman"/>
        <w:sz w:val="20"/>
      </w:rPr>
      <w:t>Tahalová</w:t>
    </w:r>
    <w:proofErr w:type="spellEnd"/>
    <w:r>
      <w:rPr>
        <w:rFonts w:ascii="Times New Roman" w:eastAsia="Times New Roman" w:hAnsi="Times New Roman" w:cs="Times New Roman"/>
        <w:sz w:val="20"/>
      </w:rPr>
      <w:t xml:space="preserve">. </w:t>
    </w:r>
  </w:p>
  <w:p w14:paraId="798950F6" w14:textId="77777777" w:rsidR="00CA220E" w:rsidRDefault="00000000">
    <w:pPr>
      <w:spacing w:after="0" w:line="259" w:lineRule="auto"/>
      <w:ind w:left="635" w:right="0" w:firstLine="0"/>
      <w:jc w:val="left"/>
    </w:pP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B3269" w14:textId="77777777" w:rsidR="00CA220E" w:rsidRDefault="00CA220E">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F3B8A" w14:textId="77777777" w:rsidR="00CA220E" w:rsidRDefault="00000000">
    <w:pPr>
      <w:spacing w:after="99" w:line="259" w:lineRule="auto"/>
      <w:ind w:left="637" w:right="0" w:firstLine="0"/>
      <w:jc w:val="left"/>
    </w:pPr>
    <w:r>
      <w:rPr>
        <w:rFonts w:ascii="Times New Roman" w:eastAsia="Times New Roman" w:hAnsi="Times New Roman" w:cs="Times New Roman"/>
        <w:sz w:val="20"/>
      </w:rPr>
      <w:t xml:space="preserve">Shodu s prvopisem potvrzuje Michaela </w:t>
    </w:r>
    <w:proofErr w:type="spellStart"/>
    <w:r>
      <w:rPr>
        <w:rFonts w:ascii="Times New Roman" w:eastAsia="Times New Roman" w:hAnsi="Times New Roman" w:cs="Times New Roman"/>
        <w:sz w:val="20"/>
      </w:rPr>
      <w:t>Tahalová</w:t>
    </w:r>
    <w:proofErr w:type="spellEnd"/>
    <w:r>
      <w:rPr>
        <w:rFonts w:ascii="Times New Roman" w:eastAsia="Times New Roman" w:hAnsi="Times New Roman" w:cs="Times New Roman"/>
        <w:sz w:val="20"/>
      </w:rPr>
      <w:t xml:space="preserve">. </w:t>
    </w:r>
  </w:p>
  <w:p w14:paraId="656C1C36" w14:textId="77777777" w:rsidR="00CA220E" w:rsidRDefault="00000000">
    <w:pPr>
      <w:spacing w:after="0" w:line="259" w:lineRule="auto"/>
      <w:ind w:left="637" w:right="0" w:firstLine="0"/>
      <w:jc w:val="left"/>
    </w:pPr>
    <w:r>
      <w:rPr>
        <w:rFonts w:ascii="Times New Roman" w:eastAsia="Times New Roman" w:hAnsi="Times New Roman" w:cs="Times New Roman"/>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9DF09" w14:textId="77777777" w:rsidR="00CA220E" w:rsidRDefault="00000000">
    <w:pPr>
      <w:spacing w:after="99" w:line="259" w:lineRule="auto"/>
      <w:ind w:left="637" w:right="0" w:firstLine="0"/>
      <w:jc w:val="left"/>
    </w:pPr>
    <w:r>
      <w:rPr>
        <w:rFonts w:ascii="Times New Roman" w:eastAsia="Times New Roman" w:hAnsi="Times New Roman" w:cs="Times New Roman"/>
        <w:sz w:val="20"/>
      </w:rPr>
      <w:t xml:space="preserve">Shodu s prvopisem potvrzuje Michaela </w:t>
    </w:r>
    <w:proofErr w:type="spellStart"/>
    <w:r>
      <w:rPr>
        <w:rFonts w:ascii="Times New Roman" w:eastAsia="Times New Roman" w:hAnsi="Times New Roman" w:cs="Times New Roman"/>
        <w:sz w:val="20"/>
      </w:rPr>
      <w:t>Tahalová</w:t>
    </w:r>
    <w:proofErr w:type="spellEnd"/>
    <w:r>
      <w:rPr>
        <w:rFonts w:ascii="Times New Roman" w:eastAsia="Times New Roman" w:hAnsi="Times New Roman" w:cs="Times New Roman"/>
        <w:sz w:val="20"/>
      </w:rPr>
      <w:t xml:space="preserve">. </w:t>
    </w:r>
  </w:p>
  <w:p w14:paraId="4C9E4B63" w14:textId="77777777" w:rsidR="00CA220E" w:rsidRDefault="00000000">
    <w:pPr>
      <w:spacing w:after="0" w:line="259" w:lineRule="auto"/>
      <w:ind w:left="637" w:right="0" w:firstLine="0"/>
      <w:jc w:val="left"/>
    </w:pPr>
    <w:r>
      <w:rPr>
        <w:rFonts w:ascii="Times New Roman" w:eastAsia="Times New Roman" w:hAnsi="Times New Roman" w:cs="Times New Roman"/>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14040" w14:textId="77777777" w:rsidR="00CA220E" w:rsidRDefault="00000000">
    <w:pPr>
      <w:spacing w:after="99" w:line="259" w:lineRule="auto"/>
      <w:ind w:left="637" w:right="0" w:firstLine="0"/>
      <w:jc w:val="left"/>
    </w:pPr>
    <w:r>
      <w:rPr>
        <w:rFonts w:ascii="Times New Roman" w:eastAsia="Times New Roman" w:hAnsi="Times New Roman" w:cs="Times New Roman"/>
        <w:sz w:val="20"/>
      </w:rPr>
      <w:t xml:space="preserve">Shodu s prvopisem potvrzuje Michaela </w:t>
    </w:r>
    <w:proofErr w:type="spellStart"/>
    <w:r>
      <w:rPr>
        <w:rFonts w:ascii="Times New Roman" w:eastAsia="Times New Roman" w:hAnsi="Times New Roman" w:cs="Times New Roman"/>
        <w:sz w:val="20"/>
      </w:rPr>
      <w:t>Tahalová</w:t>
    </w:r>
    <w:proofErr w:type="spellEnd"/>
    <w:r>
      <w:rPr>
        <w:rFonts w:ascii="Times New Roman" w:eastAsia="Times New Roman" w:hAnsi="Times New Roman" w:cs="Times New Roman"/>
        <w:sz w:val="20"/>
      </w:rPr>
      <w:t xml:space="preserve">. </w:t>
    </w:r>
  </w:p>
  <w:p w14:paraId="2E1A988D" w14:textId="77777777" w:rsidR="00CA220E" w:rsidRDefault="00000000">
    <w:pPr>
      <w:spacing w:after="0" w:line="259" w:lineRule="auto"/>
      <w:ind w:left="637" w:right="0" w:firstLine="0"/>
      <w:jc w:val="left"/>
    </w:pPr>
    <w:r>
      <w:rPr>
        <w:rFonts w:ascii="Times New Roman" w:eastAsia="Times New Roman" w:hAnsi="Times New Roman"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B7D6C" w14:textId="77777777" w:rsidR="0005075D" w:rsidRDefault="0005075D">
      <w:pPr>
        <w:spacing w:after="0" w:line="240" w:lineRule="auto"/>
      </w:pPr>
      <w:r>
        <w:separator/>
      </w:r>
    </w:p>
  </w:footnote>
  <w:footnote w:type="continuationSeparator" w:id="0">
    <w:p w14:paraId="580972C7" w14:textId="77777777" w:rsidR="0005075D" w:rsidRDefault="000507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0C120" w14:textId="77777777" w:rsidR="00CA220E" w:rsidRDefault="00000000">
    <w:pPr>
      <w:spacing w:after="0" w:line="259" w:lineRule="auto"/>
      <w:ind w:left="0" w:firstLine="0"/>
      <w:jc w:val="right"/>
    </w:pP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t>2</w:t>
    </w:r>
    <w:r>
      <w:fldChar w:fldCharType="end"/>
    </w:r>
    <w:r>
      <w:t xml:space="preserve">                                                  62 Cm 18/2024 </w:t>
    </w:r>
  </w:p>
  <w:p w14:paraId="020DC89D" w14:textId="77777777" w:rsidR="00CA220E" w:rsidRDefault="00000000">
    <w:pPr>
      <w:spacing w:after="0" w:line="259" w:lineRule="auto"/>
      <w:ind w:left="635" w:right="0" w:firstLine="0"/>
      <w:jc w:val="left"/>
    </w:pPr>
    <w:r>
      <w:rPr>
        <w:rFonts w:ascii="Times New Roman" w:eastAsia="Times New Roman" w:hAnsi="Times New Roman" w:cs="Times New Roman"/>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B0258" w14:textId="77777777" w:rsidR="00CA220E" w:rsidRDefault="00CA220E">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5E49D" w14:textId="77777777" w:rsidR="00CA220E" w:rsidRDefault="00CA220E">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0C681" w14:textId="77777777" w:rsidR="00CA220E" w:rsidRDefault="00000000">
    <w:pPr>
      <w:spacing w:after="0" w:line="259" w:lineRule="auto"/>
      <w:ind w:left="0" w:right="2" w:firstLine="0"/>
      <w:jc w:val="right"/>
    </w:pP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t>11</w:t>
    </w:r>
    <w:r>
      <w:fldChar w:fldCharType="end"/>
    </w:r>
    <w:r>
      <w:t xml:space="preserve">                                                  62 Cm 18/2024 </w:t>
    </w:r>
  </w:p>
  <w:p w14:paraId="1D5C00C2" w14:textId="77777777" w:rsidR="00CA220E" w:rsidRDefault="00000000">
    <w:pPr>
      <w:spacing w:after="0" w:line="259" w:lineRule="auto"/>
      <w:ind w:left="637" w:right="0" w:firstLine="0"/>
      <w:jc w:val="left"/>
    </w:pPr>
    <w:r>
      <w:rPr>
        <w:rFonts w:ascii="Times New Roman" w:eastAsia="Times New Roman" w:hAnsi="Times New Roman" w:cs="Times New Roman"/>
        <w:sz w:val="20"/>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BB0FD" w14:textId="77777777" w:rsidR="00CA220E" w:rsidRDefault="00000000">
    <w:pPr>
      <w:spacing w:after="0" w:line="259" w:lineRule="auto"/>
      <w:ind w:left="0" w:right="2" w:firstLine="0"/>
      <w:jc w:val="right"/>
    </w:pP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t>11</w:t>
    </w:r>
    <w:r>
      <w:fldChar w:fldCharType="end"/>
    </w:r>
    <w:r>
      <w:t xml:space="preserve">                                                  62 Cm 18/2024 </w:t>
    </w:r>
  </w:p>
  <w:p w14:paraId="29918F7C" w14:textId="77777777" w:rsidR="00CA220E" w:rsidRDefault="00000000">
    <w:pPr>
      <w:spacing w:after="0" w:line="259" w:lineRule="auto"/>
      <w:ind w:left="637" w:right="0" w:firstLine="0"/>
      <w:jc w:val="left"/>
    </w:pPr>
    <w:r>
      <w:rPr>
        <w:rFonts w:ascii="Times New Roman" w:eastAsia="Times New Roman" w:hAnsi="Times New Roman" w:cs="Times New Roman"/>
        <w:sz w:val="20"/>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12DCF" w14:textId="77777777" w:rsidR="00CA220E" w:rsidRDefault="00000000">
    <w:pPr>
      <w:spacing w:after="0" w:line="259" w:lineRule="auto"/>
      <w:ind w:left="0" w:right="2" w:firstLine="0"/>
      <w:jc w:val="right"/>
    </w:pPr>
    <w:r>
      <w:rPr>
        <w:rFonts w:ascii="Times New Roman" w:eastAsia="Times New Roman" w:hAnsi="Times New Roman" w:cs="Times New Roman"/>
        <w:sz w:val="20"/>
      </w:rPr>
      <w:t xml:space="preserve">   </w:t>
    </w:r>
    <w:r>
      <w:fldChar w:fldCharType="begin"/>
    </w:r>
    <w:r>
      <w:instrText xml:space="preserve"> PAGE   \* MERGEFORMAT </w:instrText>
    </w:r>
    <w:r>
      <w:fldChar w:fldCharType="separate"/>
    </w:r>
    <w:r>
      <w:t>11</w:t>
    </w:r>
    <w:r>
      <w:fldChar w:fldCharType="end"/>
    </w:r>
    <w:r>
      <w:t xml:space="preserve">                                                  62 Cm 18/2024 </w:t>
    </w:r>
  </w:p>
  <w:p w14:paraId="014723D0" w14:textId="77777777" w:rsidR="00CA220E" w:rsidRDefault="00000000">
    <w:pPr>
      <w:spacing w:after="0" w:line="259" w:lineRule="auto"/>
      <w:ind w:left="637" w:right="0" w:firstLine="0"/>
      <w:jc w:val="left"/>
    </w:pPr>
    <w:r>
      <w:rPr>
        <w:rFonts w:ascii="Times New Roman" w:eastAsia="Times New Roman" w:hAnsi="Times New Roman" w:cs="Times New Roman"/>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20D3"/>
    <w:multiLevelType w:val="hybridMultilevel"/>
    <w:tmpl w:val="02248862"/>
    <w:lvl w:ilvl="0" w:tplc="981E3AE8">
      <w:start w:val="1"/>
      <w:numFmt w:val="upperRoman"/>
      <w:lvlText w:val="%1."/>
      <w:lvlJc w:val="left"/>
      <w:pPr>
        <w:ind w:left="139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402410BE">
      <w:start w:val="1"/>
      <w:numFmt w:val="lowerLetter"/>
      <w:lvlText w:val="%2"/>
      <w:lvlJc w:val="left"/>
      <w:pPr>
        <w:ind w:left="177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B3F8E3DE">
      <w:start w:val="1"/>
      <w:numFmt w:val="lowerRoman"/>
      <w:lvlText w:val="%3"/>
      <w:lvlJc w:val="left"/>
      <w:pPr>
        <w:ind w:left="249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38C8D024">
      <w:start w:val="1"/>
      <w:numFmt w:val="decimal"/>
      <w:lvlText w:val="%4"/>
      <w:lvlJc w:val="left"/>
      <w:pPr>
        <w:ind w:left="321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AE9403F6">
      <w:start w:val="1"/>
      <w:numFmt w:val="lowerLetter"/>
      <w:lvlText w:val="%5"/>
      <w:lvlJc w:val="left"/>
      <w:pPr>
        <w:ind w:left="393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443E6F70">
      <w:start w:val="1"/>
      <w:numFmt w:val="lowerRoman"/>
      <w:lvlText w:val="%6"/>
      <w:lvlJc w:val="left"/>
      <w:pPr>
        <w:ind w:left="465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804C5BF8">
      <w:start w:val="1"/>
      <w:numFmt w:val="decimal"/>
      <w:lvlText w:val="%7"/>
      <w:lvlJc w:val="left"/>
      <w:pPr>
        <w:ind w:left="537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BD9C90E6">
      <w:start w:val="1"/>
      <w:numFmt w:val="lowerLetter"/>
      <w:lvlText w:val="%8"/>
      <w:lvlJc w:val="left"/>
      <w:pPr>
        <w:ind w:left="609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6EA62FBE">
      <w:start w:val="1"/>
      <w:numFmt w:val="lowerRoman"/>
      <w:lvlText w:val="%9"/>
      <w:lvlJc w:val="left"/>
      <w:pPr>
        <w:ind w:left="681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7771CE"/>
    <w:multiLevelType w:val="hybridMultilevel"/>
    <w:tmpl w:val="92B6D08C"/>
    <w:lvl w:ilvl="0" w:tplc="0FFC7D32">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64126B96">
      <w:start w:val="1"/>
      <w:numFmt w:val="lowerLetter"/>
      <w:lvlText w:val="%2"/>
      <w:lvlJc w:val="left"/>
      <w:pPr>
        <w:ind w:left="89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C812D0CE">
      <w:start w:val="13"/>
      <w:numFmt w:val="lowerLetter"/>
      <w:lvlText w:val="%3)"/>
      <w:lvlJc w:val="left"/>
      <w:pPr>
        <w:ind w:left="242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1DB408C8">
      <w:start w:val="1"/>
      <w:numFmt w:val="decimal"/>
      <w:lvlText w:val="%4"/>
      <w:lvlJc w:val="left"/>
      <w:pPr>
        <w:ind w:left="215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4FFE348E">
      <w:start w:val="1"/>
      <w:numFmt w:val="lowerLetter"/>
      <w:lvlText w:val="%5"/>
      <w:lvlJc w:val="left"/>
      <w:pPr>
        <w:ind w:left="287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9C5C0218">
      <w:start w:val="1"/>
      <w:numFmt w:val="lowerRoman"/>
      <w:lvlText w:val="%6"/>
      <w:lvlJc w:val="left"/>
      <w:pPr>
        <w:ind w:left="359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A106FE18">
      <w:start w:val="1"/>
      <w:numFmt w:val="decimal"/>
      <w:lvlText w:val="%7"/>
      <w:lvlJc w:val="left"/>
      <w:pPr>
        <w:ind w:left="431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A1B4F8CE">
      <w:start w:val="1"/>
      <w:numFmt w:val="lowerLetter"/>
      <w:lvlText w:val="%8"/>
      <w:lvlJc w:val="left"/>
      <w:pPr>
        <w:ind w:left="503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8E9677FE">
      <w:start w:val="1"/>
      <w:numFmt w:val="lowerRoman"/>
      <w:lvlText w:val="%9"/>
      <w:lvlJc w:val="left"/>
      <w:pPr>
        <w:ind w:left="575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E520DBE"/>
    <w:multiLevelType w:val="hybridMultilevel"/>
    <w:tmpl w:val="CB28308C"/>
    <w:lvl w:ilvl="0" w:tplc="CCFC6ECA">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B4861820">
      <w:start w:val="1"/>
      <w:numFmt w:val="lowerLetter"/>
      <w:lvlText w:val="%2"/>
      <w:lvlJc w:val="left"/>
      <w:pPr>
        <w:ind w:left="85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DE56133A">
      <w:start w:val="1"/>
      <w:numFmt w:val="decimal"/>
      <w:lvlRestart w:val="0"/>
      <w:lvlText w:val="(%3)"/>
      <w:lvlJc w:val="left"/>
      <w:pPr>
        <w:ind w:left="139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F198E4C8">
      <w:start w:val="1"/>
      <w:numFmt w:val="decimal"/>
      <w:lvlText w:val="%4"/>
      <w:lvlJc w:val="left"/>
      <w:pPr>
        <w:ind w:left="20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6F50D29E">
      <w:start w:val="1"/>
      <w:numFmt w:val="lowerLetter"/>
      <w:lvlText w:val="%5"/>
      <w:lvlJc w:val="left"/>
      <w:pPr>
        <w:ind w:left="279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88A83C10">
      <w:start w:val="1"/>
      <w:numFmt w:val="lowerRoman"/>
      <w:lvlText w:val="%6"/>
      <w:lvlJc w:val="left"/>
      <w:pPr>
        <w:ind w:left="351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7DB4EDAA">
      <w:start w:val="1"/>
      <w:numFmt w:val="decimal"/>
      <w:lvlText w:val="%7"/>
      <w:lvlJc w:val="left"/>
      <w:pPr>
        <w:ind w:left="423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50B6C632">
      <w:start w:val="1"/>
      <w:numFmt w:val="lowerLetter"/>
      <w:lvlText w:val="%8"/>
      <w:lvlJc w:val="left"/>
      <w:pPr>
        <w:ind w:left="495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1D22100A">
      <w:start w:val="1"/>
      <w:numFmt w:val="lowerRoman"/>
      <w:lvlText w:val="%9"/>
      <w:lvlJc w:val="left"/>
      <w:pPr>
        <w:ind w:left="56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63057B8"/>
    <w:multiLevelType w:val="hybridMultilevel"/>
    <w:tmpl w:val="D5B8814A"/>
    <w:lvl w:ilvl="0" w:tplc="630ACF68">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5644CF5E">
      <w:start w:val="1"/>
      <w:numFmt w:val="lowerLetter"/>
      <w:lvlText w:val="%2"/>
      <w:lvlJc w:val="left"/>
      <w:pPr>
        <w:ind w:left="65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EA78AEB2">
      <w:start w:val="1"/>
      <w:numFmt w:val="lowerRoman"/>
      <w:lvlText w:val="%3"/>
      <w:lvlJc w:val="left"/>
      <w:pPr>
        <w:ind w:left="94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6840EBFE">
      <w:start w:val="1"/>
      <w:numFmt w:val="decimal"/>
      <w:lvlRestart w:val="0"/>
      <w:lvlText w:val="(%4)"/>
      <w:lvlJc w:val="left"/>
      <w:pPr>
        <w:ind w:left="134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362A7ADA">
      <w:start w:val="1"/>
      <w:numFmt w:val="lowerLetter"/>
      <w:lvlText w:val="%5"/>
      <w:lvlJc w:val="left"/>
      <w:pPr>
        <w:ind w:left="195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7AEE6224">
      <w:start w:val="1"/>
      <w:numFmt w:val="lowerRoman"/>
      <w:lvlText w:val="%6"/>
      <w:lvlJc w:val="left"/>
      <w:pPr>
        <w:ind w:left="267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9656C694">
      <w:start w:val="1"/>
      <w:numFmt w:val="decimal"/>
      <w:lvlText w:val="%7"/>
      <w:lvlJc w:val="left"/>
      <w:pPr>
        <w:ind w:left="339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ADBA5C46">
      <w:start w:val="1"/>
      <w:numFmt w:val="lowerLetter"/>
      <w:lvlText w:val="%8"/>
      <w:lvlJc w:val="left"/>
      <w:pPr>
        <w:ind w:left="411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5A8C4674">
      <w:start w:val="1"/>
      <w:numFmt w:val="lowerRoman"/>
      <w:lvlText w:val="%9"/>
      <w:lvlJc w:val="left"/>
      <w:pPr>
        <w:ind w:left="483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877558A"/>
    <w:multiLevelType w:val="hybridMultilevel"/>
    <w:tmpl w:val="B0B46E6C"/>
    <w:lvl w:ilvl="0" w:tplc="BEF42DE0">
      <w:start w:val="18"/>
      <w:numFmt w:val="decimal"/>
      <w:lvlText w:val="(%1)"/>
      <w:lvlJc w:val="left"/>
      <w:pPr>
        <w:ind w:left="138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6E1226F2">
      <w:start w:val="1"/>
      <w:numFmt w:val="lowerRoman"/>
      <w:lvlText w:val="%2."/>
      <w:lvlJc w:val="left"/>
      <w:pPr>
        <w:ind w:left="200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8D1E4222">
      <w:start w:val="1"/>
      <w:numFmt w:val="lowerRoman"/>
      <w:lvlText w:val="%3"/>
      <w:lvlJc w:val="left"/>
      <w:pPr>
        <w:ind w:left="161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72000492">
      <w:start w:val="1"/>
      <w:numFmt w:val="decimal"/>
      <w:lvlText w:val="%4"/>
      <w:lvlJc w:val="left"/>
      <w:pPr>
        <w:ind w:left="233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B23C2F1C">
      <w:start w:val="1"/>
      <w:numFmt w:val="lowerLetter"/>
      <w:lvlText w:val="%5"/>
      <w:lvlJc w:val="left"/>
      <w:pPr>
        <w:ind w:left="305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AD8C67F8">
      <w:start w:val="1"/>
      <w:numFmt w:val="lowerRoman"/>
      <w:lvlText w:val="%6"/>
      <w:lvlJc w:val="left"/>
      <w:pPr>
        <w:ind w:left="377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0BE23A06">
      <w:start w:val="1"/>
      <w:numFmt w:val="decimal"/>
      <w:lvlText w:val="%7"/>
      <w:lvlJc w:val="left"/>
      <w:pPr>
        <w:ind w:left="449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4AEC9C06">
      <w:start w:val="1"/>
      <w:numFmt w:val="lowerLetter"/>
      <w:lvlText w:val="%8"/>
      <w:lvlJc w:val="left"/>
      <w:pPr>
        <w:ind w:left="521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0BCA8838">
      <w:start w:val="1"/>
      <w:numFmt w:val="lowerRoman"/>
      <w:lvlText w:val="%9"/>
      <w:lvlJc w:val="left"/>
      <w:pPr>
        <w:ind w:left="593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E803BD8"/>
    <w:multiLevelType w:val="hybridMultilevel"/>
    <w:tmpl w:val="248A1716"/>
    <w:lvl w:ilvl="0" w:tplc="2856F4EE">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17FA414A">
      <w:start w:val="1"/>
      <w:numFmt w:val="lowerLetter"/>
      <w:lvlText w:val="%2"/>
      <w:lvlJc w:val="left"/>
      <w:pPr>
        <w:ind w:left="85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11A65596">
      <w:start w:val="1"/>
      <w:numFmt w:val="decimal"/>
      <w:lvlRestart w:val="0"/>
      <w:lvlText w:val="(%3)"/>
      <w:lvlJc w:val="left"/>
      <w:pPr>
        <w:ind w:left="135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B4281A9A">
      <w:start w:val="1"/>
      <w:numFmt w:val="decimal"/>
      <w:lvlText w:val="%4"/>
      <w:lvlJc w:val="left"/>
      <w:pPr>
        <w:ind w:left="20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F668A7D6">
      <w:start w:val="1"/>
      <w:numFmt w:val="lowerLetter"/>
      <w:lvlText w:val="%5"/>
      <w:lvlJc w:val="left"/>
      <w:pPr>
        <w:ind w:left="279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50647CE6">
      <w:start w:val="1"/>
      <w:numFmt w:val="lowerRoman"/>
      <w:lvlText w:val="%6"/>
      <w:lvlJc w:val="left"/>
      <w:pPr>
        <w:ind w:left="351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2B2A4D46">
      <w:start w:val="1"/>
      <w:numFmt w:val="decimal"/>
      <w:lvlText w:val="%7"/>
      <w:lvlJc w:val="left"/>
      <w:pPr>
        <w:ind w:left="423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DBD2AADA">
      <w:start w:val="1"/>
      <w:numFmt w:val="lowerLetter"/>
      <w:lvlText w:val="%8"/>
      <w:lvlJc w:val="left"/>
      <w:pPr>
        <w:ind w:left="495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1298B290">
      <w:start w:val="1"/>
      <w:numFmt w:val="lowerRoman"/>
      <w:lvlText w:val="%9"/>
      <w:lvlJc w:val="left"/>
      <w:pPr>
        <w:ind w:left="56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F3D0D4C"/>
    <w:multiLevelType w:val="hybridMultilevel"/>
    <w:tmpl w:val="900ECF44"/>
    <w:lvl w:ilvl="0" w:tplc="DBD881B4">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3EE2C740">
      <w:start w:val="1"/>
      <w:numFmt w:val="lowerLetter"/>
      <w:lvlText w:val="%2"/>
      <w:lvlJc w:val="left"/>
      <w:pPr>
        <w:ind w:left="654"/>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860624F0">
      <w:start w:val="1"/>
      <w:numFmt w:val="lowerRoman"/>
      <w:lvlText w:val="%3"/>
      <w:lvlJc w:val="left"/>
      <w:pPr>
        <w:ind w:left="94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58669EEA">
      <w:start w:val="1"/>
      <w:numFmt w:val="decimal"/>
      <w:lvlRestart w:val="0"/>
      <w:lvlText w:val="(%4)"/>
      <w:lvlJc w:val="left"/>
      <w:pPr>
        <w:ind w:left="135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0B089108">
      <w:start w:val="1"/>
      <w:numFmt w:val="lowerLetter"/>
      <w:lvlText w:val="%5"/>
      <w:lvlJc w:val="left"/>
      <w:pPr>
        <w:ind w:left="1962"/>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8AF0A7F8">
      <w:start w:val="1"/>
      <w:numFmt w:val="lowerRoman"/>
      <w:lvlText w:val="%6"/>
      <w:lvlJc w:val="left"/>
      <w:pPr>
        <w:ind w:left="2682"/>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631CAB02">
      <w:start w:val="1"/>
      <w:numFmt w:val="decimal"/>
      <w:lvlText w:val="%7"/>
      <w:lvlJc w:val="left"/>
      <w:pPr>
        <w:ind w:left="3402"/>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177EC2D4">
      <w:start w:val="1"/>
      <w:numFmt w:val="lowerLetter"/>
      <w:lvlText w:val="%8"/>
      <w:lvlJc w:val="left"/>
      <w:pPr>
        <w:ind w:left="4122"/>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EFC2999C">
      <w:start w:val="1"/>
      <w:numFmt w:val="lowerRoman"/>
      <w:lvlText w:val="%9"/>
      <w:lvlJc w:val="left"/>
      <w:pPr>
        <w:ind w:left="4842"/>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FF179A4"/>
    <w:multiLevelType w:val="hybridMultilevel"/>
    <w:tmpl w:val="BF14F54E"/>
    <w:lvl w:ilvl="0" w:tplc="7BAAC582">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9842918C">
      <w:start w:val="1"/>
      <w:numFmt w:val="lowerLetter"/>
      <w:lvlText w:val="%2"/>
      <w:lvlJc w:val="left"/>
      <w:pPr>
        <w:ind w:left="85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0B0AD090">
      <w:start w:val="1"/>
      <w:numFmt w:val="decimal"/>
      <w:lvlRestart w:val="0"/>
      <w:lvlText w:val="(%3)"/>
      <w:lvlJc w:val="left"/>
      <w:pPr>
        <w:ind w:left="139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C36A7646">
      <w:start w:val="1"/>
      <w:numFmt w:val="decimal"/>
      <w:lvlText w:val="%4"/>
      <w:lvlJc w:val="left"/>
      <w:pPr>
        <w:ind w:left="20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F7AAE45E">
      <w:start w:val="1"/>
      <w:numFmt w:val="lowerLetter"/>
      <w:lvlText w:val="%5"/>
      <w:lvlJc w:val="left"/>
      <w:pPr>
        <w:ind w:left="279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ABB00738">
      <w:start w:val="1"/>
      <w:numFmt w:val="lowerRoman"/>
      <w:lvlText w:val="%6"/>
      <w:lvlJc w:val="left"/>
      <w:pPr>
        <w:ind w:left="351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5B26298A">
      <w:start w:val="1"/>
      <w:numFmt w:val="decimal"/>
      <w:lvlText w:val="%7"/>
      <w:lvlJc w:val="left"/>
      <w:pPr>
        <w:ind w:left="423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F7CCDAA4">
      <w:start w:val="1"/>
      <w:numFmt w:val="lowerLetter"/>
      <w:lvlText w:val="%8"/>
      <w:lvlJc w:val="left"/>
      <w:pPr>
        <w:ind w:left="495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4F387D06">
      <w:start w:val="1"/>
      <w:numFmt w:val="lowerRoman"/>
      <w:lvlText w:val="%9"/>
      <w:lvlJc w:val="left"/>
      <w:pPr>
        <w:ind w:left="56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AE94E66"/>
    <w:multiLevelType w:val="hybridMultilevel"/>
    <w:tmpl w:val="B4268C0C"/>
    <w:lvl w:ilvl="0" w:tplc="17F2E060">
      <w:start w:val="31"/>
      <w:numFmt w:val="decimal"/>
      <w:lvlText w:val="%1."/>
      <w:lvlJc w:val="left"/>
      <w:pPr>
        <w:ind w:left="637"/>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6136BE2E">
      <w:start w:val="1"/>
      <w:numFmt w:val="lowerLetter"/>
      <w:lvlText w:val="%2)"/>
      <w:lvlJc w:val="left"/>
      <w:pPr>
        <w:ind w:left="637"/>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2" w:tplc="621E7652">
      <w:start w:val="1"/>
      <w:numFmt w:val="lowerRoman"/>
      <w:lvlText w:val="%3"/>
      <w:lvlJc w:val="left"/>
      <w:pPr>
        <w:ind w:left="1715"/>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3" w:tplc="BE6EF21C">
      <w:start w:val="1"/>
      <w:numFmt w:val="decimal"/>
      <w:lvlText w:val="%4"/>
      <w:lvlJc w:val="left"/>
      <w:pPr>
        <w:ind w:left="2435"/>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4" w:tplc="A36E1A50">
      <w:start w:val="1"/>
      <w:numFmt w:val="lowerLetter"/>
      <w:lvlText w:val="%5"/>
      <w:lvlJc w:val="left"/>
      <w:pPr>
        <w:ind w:left="3155"/>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5" w:tplc="CAD623E4">
      <w:start w:val="1"/>
      <w:numFmt w:val="lowerRoman"/>
      <w:lvlText w:val="%6"/>
      <w:lvlJc w:val="left"/>
      <w:pPr>
        <w:ind w:left="3875"/>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6" w:tplc="2A9054E6">
      <w:start w:val="1"/>
      <w:numFmt w:val="decimal"/>
      <w:lvlText w:val="%7"/>
      <w:lvlJc w:val="left"/>
      <w:pPr>
        <w:ind w:left="4595"/>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7" w:tplc="4D263DB8">
      <w:start w:val="1"/>
      <w:numFmt w:val="lowerLetter"/>
      <w:lvlText w:val="%8"/>
      <w:lvlJc w:val="left"/>
      <w:pPr>
        <w:ind w:left="5315"/>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lvl w:ilvl="8" w:tplc="0E8458C6">
      <w:start w:val="1"/>
      <w:numFmt w:val="lowerRoman"/>
      <w:lvlText w:val="%9"/>
      <w:lvlJc w:val="left"/>
      <w:pPr>
        <w:ind w:left="6035"/>
      </w:pPr>
      <w:rPr>
        <w:rFonts w:ascii="Garamond" w:eastAsia="Garamond" w:hAnsi="Garamond" w:cs="Garamond"/>
        <w:b w:val="0"/>
        <w:i/>
        <w:iCs/>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79B3CD7"/>
    <w:multiLevelType w:val="hybridMultilevel"/>
    <w:tmpl w:val="96D84D36"/>
    <w:lvl w:ilvl="0" w:tplc="85383900">
      <w:start w:val="1"/>
      <w:numFmt w:val="decimal"/>
      <w:lvlText w:val="%1."/>
      <w:lvlJc w:val="left"/>
      <w:pPr>
        <w:ind w:left="63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43C2C8D8">
      <w:start w:val="1"/>
      <w:numFmt w:val="decimal"/>
      <w:lvlText w:val="(%2)"/>
      <w:lvlJc w:val="left"/>
      <w:pPr>
        <w:ind w:left="138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902A033C">
      <w:start w:val="1"/>
      <w:numFmt w:val="lowerRoman"/>
      <w:lvlText w:val="%3"/>
      <w:lvlJc w:val="left"/>
      <w:pPr>
        <w:ind w:left="148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51E08714">
      <w:start w:val="1"/>
      <w:numFmt w:val="decimal"/>
      <w:lvlText w:val="%4"/>
      <w:lvlJc w:val="left"/>
      <w:pPr>
        <w:ind w:left="220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888AA91C">
      <w:start w:val="1"/>
      <w:numFmt w:val="lowerLetter"/>
      <w:lvlText w:val="%5"/>
      <w:lvlJc w:val="left"/>
      <w:pPr>
        <w:ind w:left="292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342E4EA4">
      <w:start w:val="1"/>
      <w:numFmt w:val="lowerRoman"/>
      <w:lvlText w:val="%6"/>
      <w:lvlJc w:val="left"/>
      <w:pPr>
        <w:ind w:left="364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468E1D08">
      <w:start w:val="1"/>
      <w:numFmt w:val="decimal"/>
      <w:lvlText w:val="%7"/>
      <w:lvlJc w:val="left"/>
      <w:pPr>
        <w:ind w:left="436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015C9686">
      <w:start w:val="1"/>
      <w:numFmt w:val="lowerLetter"/>
      <w:lvlText w:val="%8"/>
      <w:lvlJc w:val="left"/>
      <w:pPr>
        <w:ind w:left="508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009472B4">
      <w:start w:val="1"/>
      <w:numFmt w:val="lowerRoman"/>
      <w:lvlText w:val="%9"/>
      <w:lvlJc w:val="left"/>
      <w:pPr>
        <w:ind w:left="580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F827E99"/>
    <w:multiLevelType w:val="hybridMultilevel"/>
    <w:tmpl w:val="013EDFC0"/>
    <w:lvl w:ilvl="0" w:tplc="556CA1FA">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9A7CEF70">
      <w:start w:val="1"/>
      <w:numFmt w:val="lowerLetter"/>
      <w:lvlText w:val="%2"/>
      <w:lvlJc w:val="left"/>
      <w:pPr>
        <w:ind w:left="85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42401BD2">
      <w:start w:val="1"/>
      <w:numFmt w:val="lowerLetter"/>
      <w:lvlRestart w:val="0"/>
      <w:lvlText w:val="%3)"/>
      <w:lvlJc w:val="left"/>
      <w:pPr>
        <w:ind w:left="135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C14899DA">
      <w:start w:val="1"/>
      <w:numFmt w:val="decimal"/>
      <w:lvlText w:val="%4"/>
      <w:lvlJc w:val="left"/>
      <w:pPr>
        <w:ind w:left="20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EC1A4DA4">
      <w:start w:val="1"/>
      <w:numFmt w:val="lowerLetter"/>
      <w:lvlText w:val="%5"/>
      <w:lvlJc w:val="left"/>
      <w:pPr>
        <w:ind w:left="279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1312DBDE">
      <w:start w:val="1"/>
      <w:numFmt w:val="lowerRoman"/>
      <w:lvlText w:val="%6"/>
      <w:lvlJc w:val="left"/>
      <w:pPr>
        <w:ind w:left="351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975C1D3C">
      <w:start w:val="1"/>
      <w:numFmt w:val="decimal"/>
      <w:lvlText w:val="%7"/>
      <w:lvlJc w:val="left"/>
      <w:pPr>
        <w:ind w:left="423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E10C47AC">
      <w:start w:val="1"/>
      <w:numFmt w:val="lowerLetter"/>
      <w:lvlText w:val="%8"/>
      <w:lvlJc w:val="left"/>
      <w:pPr>
        <w:ind w:left="495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26F866E4">
      <w:start w:val="1"/>
      <w:numFmt w:val="lowerRoman"/>
      <w:lvlText w:val="%9"/>
      <w:lvlJc w:val="left"/>
      <w:pPr>
        <w:ind w:left="56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1B138D7"/>
    <w:multiLevelType w:val="hybridMultilevel"/>
    <w:tmpl w:val="98928678"/>
    <w:lvl w:ilvl="0" w:tplc="325070C2">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63B6CBF0">
      <w:start w:val="1"/>
      <w:numFmt w:val="lowerLetter"/>
      <w:lvlText w:val="%2"/>
      <w:lvlJc w:val="left"/>
      <w:pPr>
        <w:ind w:left="84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591637F4">
      <w:start w:val="1"/>
      <w:numFmt w:val="lowerRoman"/>
      <w:lvlText w:val="%3"/>
      <w:lvlJc w:val="left"/>
      <w:pPr>
        <w:ind w:left="1338"/>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DC72A0C8">
      <w:start w:val="1"/>
      <w:numFmt w:val="lowerRoman"/>
      <w:lvlRestart w:val="0"/>
      <w:lvlText w:val="%4."/>
      <w:lvlJc w:val="left"/>
      <w:pPr>
        <w:ind w:left="20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81FC420A">
      <w:start w:val="1"/>
      <w:numFmt w:val="lowerLetter"/>
      <w:lvlText w:val="%5"/>
      <w:lvlJc w:val="left"/>
      <w:pPr>
        <w:ind w:left="2547"/>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CA40AAD6">
      <w:start w:val="1"/>
      <w:numFmt w:val="lowerRoman"/>
      <w:lvlText w:val="%6"/>
      <w:lvlJc w:val="left"/>
      <w:pPr>
        <w:ind w:left="3267"/>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5AEC727A">
      <w:start w:val="1"/>
      <w:numFmt w:val="decimal"/>
      <w:lvlText w:val="%7"/>
      <w:lvlJc w:val="left"/>
      <w:pPr>
        <w:ind w:left="3987"/>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46B872BA">
      <w:start w:val="1"/>
      <w:numFmt w:val="lowerLetter"/>
      <w:lvlText w:val="%8"/>
      <w:lvlJc w:val="left"/>
      <w:pPr>
        <w:ind w:left="4707"/>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DFE870FA">
      <w:start w:val="1"/>
      <w:numFmt w:val="lowerRoman"/>
      <w:lvlText w:val="%9"/>
      <w:lvlJc w:val="left"/>
      <w:pPr>
        <w:ind w:left="5427"/>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C6A1AF3"/>
    <w:multiLevelType w:val="hybridMultilevel"/>
    <w:tmpl w:val="2C96D1CA"/>
    <w:lvl w:ilvl="0" w:tplc="C37AD054">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C0C4B552">
      <w:start w:val="1"/>
      <w:numFmt w:val="lowerLetter"/>
      <w:lvlText w:val="%2"/>
      <w:lvlJc w:val="left"/>
      <w:pPr>
        <w:ind w:left="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7DCC6B88">
      <w:start w:val="1"/>
      <w:numFmt w:val="lowerRoman"/>
      <w:lvlText w:val="%3"/>
      <w:lvlJc w:val="left"/>
      <w:pPr>
        <w:ind w:left="10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C8502564">
      <w:start w:val="1"/>
      <w:numFmt w:val="decimal"/>
      <w:lvlText w:val="%4"/>
      <w:lvlJc w:val="left"/>
      <w:pPr>
        <w:ind w:left="131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C3BA6F74">
      <w:start w:val="1"/>
      <w:numFmt w:val="decimal"/>
      <w:lvlRestart w:val="0"/>
      <w:lvlText w:val="(%5)"/>
      <w:lvlJc w:val="left"/>
      <w:pPr>
        <w:ind w:left="203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13FE698E">
      <w:start w:val="1"/>
      <w:numFmt w:val="lowerRoman"/>
      <w:lvlText w:val="%6"/>
      <w:lvlJc w:val="left"/>
      <w:pPr>
        <w:ind w:left="235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09AC8AC8">
      <w:start w:val="1"/>
      <w:numFmt w:val="decimal"/>
      <w:lvlText w:val="%7"/>
      <w:lvlJc w:val="left"/>
      <w:pPr>
        <w:ind w:left="307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C570D3E6">
      <w:start w:val="1"/>
      <w:numFmt w:val="lowerLetter"/>
      <w:lvlText w:val="%8"/>
      <w:lvlJc w:val="left"/>
      <w:pPr>
        <w:ind w:left="379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D84425C4">
      <w:start w:val="1"/>
      <w:numFmt w:val="lowerRoman"/>
      <w:lvlText w:val="%9"/>
      <w:lvlJc w:val="left"/>
      <w:pPr>
        <w:ind w:left="451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B6302B4"/>
    <w:multiLevelType w:val="hybridMultilevel"/>
    <w:tmpl w:val="A9EAE9D6"/>
    <w:lvl w:ilvl="0" w:tplc="742C275C">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587044E0">
      <w:start w:val="1"/>
      <w:numFmt w:val="lowerLetter"/>
      <w:lvlText w:val="%2"/>
      <w:lvlJc w:val="left"/>
      <w:pPr>
        <w:ind w:left="89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B95CB2E8">
      <w:start w:val="1"/>
      <w:numFmt w:val="lowerLetter"/>
      <w:lvlText w:val="%3)"/>
      <w:lvlJc w:val="left"/>
      <w:pPr>
        <w:ind w:left="242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1A34C27A">
      <w:start w:val="1"/>
      <w:numFmt w:val="decimal"/>
      <w:lvlText w:val="%4"/>
      <w:lvlJc w:val="left"/>
      <w:pPr>
        <w:ind w:left="215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5596B73C">
      <w:start w:val="1"/>
      <w:numFmt w:val="lowerLetter"/>
      <w:lvlText w:val="%5"/>
      <w:lvlJc w:val="left"/>
      <w:pPr>
        <w:ind w:left="287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06E27EAA">
      <w:start w:val="1"/>
      <w:numFmt w:val="lowerRoman"/>
      <w:lvlText w:val="%6"/>
      <w:lvlJc w:val="left"/>
      <w:pPr>
        <w:ind w:left="359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ACF85A6A">
      <w:start w:val="1"/>
      <w:numFmt w:val="decimal"/>
      <w:lvlText w:val="%7"/>
      <w:lvlJc w:val="left"/>
      <w:pPr>
        <w:ind w:left="431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159AFDE0">
      <w:start w:val="1"/>
      <w:numFmt w:val="lowerLetter"/>
      <w:lvlText w:val="%8"/>
      <w:lvlJc w:val="left"/>
      <w:pPr>
        <w:ind w:left="503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226AA48C">
      <w:start w:val="1"/>
      <w:numFmt w:val="lowerRoman"/>
      <w:lvlText w:val="%9"/>
      <w:lvlJc w:val="left"/>
      <w:pPr>
        <w:ind w:left="5753"/>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4827960"/>
    <w:multiLevelType w:val="hybridMultilevel"/>
    <w:tmpl w:val="61E8598C"/>
    <w:lvl w:ilvl="0" w:tplc="E6FE5326">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371EE830">
      <w:start w:val="1"/>
      <w:numFmt w:val="lowerLetter"/>
      <w:lvlText w:val="%2"/>
      <w:lvlJc w:val="left"/>
      <w:pPr>
        <w:ind w:left="856"/>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415E2A62">
      <w:start w:val="1"/>
      <w:numFmt w:val="decimal"/>
      <w:lvlRestart w:val="0"/>
      <w:lvlText w:val="(%3)"/>
      <w:lvlJc w:val="left"/>
      <w:pPr>
        <w:ind w:left="135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5EE299FC">
      <w:start w:val="1"/>
      <w:numFmt w:val="decimal"/>
      <w:lvlText w:val="%4"/>
      <w:lvlJc w:val="left"/>
      <w:pPr>
        <w:ind w:left="20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D20497BA">
      <w:start w:val="1"/>
      <w:numFmt w:val="lowerLetter"/>
      <w:lvlText w:val="%5"/>
      <w:lvlJc w:val="left"/>
      <w:pPr>
        <w:ind w:left="279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5B74C4E0">
      <w:start w:val="1"/>
      <w:numFmt w:val="lowerRoman"/>
      <w:lvlText w:val="%6"/>
      <w:lvlJc w:val="left"/>
      <w:pPr>
        <w:ind w:left="351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7B60843A">
      <w:start w:val="1"/>
      <w:numFmt w:val="decimal"/>
      <w:lvlText w:val="%7"/>
      <w:lvlJc w:val="left"/>
      <w:pPr>
        <w:ind w:left="423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43BE49FC">
      <w:start w:val="1"/>
      <w:numFmt w:val="lowerLetter"/>
      <w:lvlText w:val="%8"/>
      <w:lvlJc w:val="left"/>
      <w:pPr>
        <w:ind w:left="495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B9407932">
      <w:start w:val="1"/>
      <w:numFmt w:val="lowerRoman"/>
      <w:lvlText w:val="%9"/>
      <w:lvlJc w:val="left"/>
      <w:pPr>
        <w:ind w:left="567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BB073D7"/>
    <w:multiLevelType w:val="hybridMultilevel"/>
    <w:tmpl w:val="947A919E"/>
    <w:lvl w:ilvl="0" w:tplc="F4A02FF8">
      <w:start w:val="1"/>
      <w:numFmt w:val="decimal"/>
      <w:lvlText w:val="%1"/>
      <w:lvlJc w:val="left"/>
      <w:pPr>
        <w:ind w:left="3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C520FEAA">
      <w:start w:val="1"/>
      <w:numFmt w:val="lowerLetter"/>
      <w:lvlText w:val="%2"/>
      <w:lvlJc w:val="left"/>
      <w:pPr>
        <w:ind w:left="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4FC21786">
      <w:start w:val="1"/>
      <w:numFmt w:val="lowerRoman"/>
      <w:lvlText w:val="%3"/>
      <w:lvlJc w:val="left"/>
      <w:pPr>
        <w:ind w:left="10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B59CADCE">
      <w:start w:val="1"/>
      <w:numFmt w:val="decimal"/>
      <w:lvlText w:val="%4"/>
      <w:lvlJc w:val="left"/>
      <w:pPr>
        <w:ind w:left="131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48ECDAF4">
      <w:start w:val="1"/>
      <w:numFmt w:val="decimal"/>
      <w:lvlRestart w:val="0"/>
      <w:lvlText w:val="(%5)"/>
      <w:lvlJc w:val="left"/>
      <w:pPr>
        <w:ind w:left="163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4CDA96B8">
      <w:start w:val="1"/>
      <w:numFmt w:val="lowerRoman"/>
      <w:lvlText w:val="%6"/>
      <w:lvlJc w:val="left"/>
      <w:pPr>
        <w:ind w:left="235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882EBCDA">
      <w:start w:val="1"/>
      <w:numFmt w:val="decimal"/>
      <w:lvlText w:val="%7"/>
      <w:lvlJc w:val="left"/>
      <w:pPr>
        <w:ind w:left="307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70246CEE">
      <w:start w:val="1"/>
      <w:numFmt w:val="lowerLetter"/>
      <w:lvlText w:val="%8"/>
      <w:lvlJc w:val="left"/>
      <w:pPr>
        <w:ind w:left="379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4B904364">
      <w:start w:val="1"/>
      <w:numFmt w:val="lowerRoman"/>
      <w:lvlText w:val="%9"/>
      <w:lvlJc w:val="left"/>
      <w:pPr>
        <w:ind w:left="4519"/>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num w:numId="1" w16cid:durableId="2114740030">
    <w:abstractNumId w:val="0"/>
  </w:num>
  <w:num w:numId="2" w16cid:durableId="282351128">
    <w:abstractNumId w:val="9"/>
  </w:num>
  <w:num w:numId="3" w16cid:durableId="345013801">
    <w:abstractNumId w:val="3"/>
  </w:num>
  <w:num w:numId="4" w16cid:durableId="1965498834">
    <w:abstractNumId w:val="15"/>
  </w:num>
  <w:num w:numId="5" w16cid:durableId="2048289245">
    <w:abstractNumId w:val="12"/>
  </w:num>
  <w:num w:numId="6" w16cid:durableId="1980651770">
    <w:abstractNumId w:val="6"/>
  </w:num>
  <w:num w:numId="7" w16cid:durableId="1119834656">
    <w:abstractNumId w:val="4"/>
  </w:num>
  <w:num w:numId="8" w16cid:durableId="1981301376">
    <w:abstractNumId w:val="1"/>
  </w:num>
  <w:num w:numId="9" w16cid:durableId="1666326353">
    <w:abstractNumId w:val="13"/>
  </w:num>
  <w:num w:numId="10" w16cid:durableId="1871062433">
    <w:abstractNumId w:val="8"/>
  </w:num>
  <w:num w:numId="11" w16cid:durableId="920018720">
    <w:abstractNumId w:val="11"/>
  </w:num>
  <w:num w:numId="12" w16cid:durableId="502670898">
    <w:abstractNumId w:val="5"/>
  </w:num>
  <w:num w:numId="13" w16cid:durableId="1788312816">
    <w:abstractNumId w:val="10"/>
  </w:num>
  <w:num w:numId="14" w16cid:durableId="1222710248">
    <w:abstractNumId w:val="14"/>
  </w:num>
  <w:num w:numId="15" w16cid:durableId="587276457">
    <w:abstractNumId w:val="7"/>
  </w:num>
  <w:num w:numId="16" w16cid:durableId="20375404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20E"/>
    <w:rsid w:val="0005075D"/>
    <w:rsid w:val="000F48D7"/>
    <w:rsid w:val="00103EBE"/>
    <w:rsid w:val="00146782"/>
    <w:rsid w:val="002C2A27"/>
    <w:rsid w:val="00357CE0"/>
    <w:rsid w:val="003D7942"/>
    <w:rsid w:val="004012EA"/>
    <w:rsid w:val="00591F49"/>
    <w:rsid w:val="006E1BB9"/>
    <w:rsid w:val="006E5DED"/>
    <w:rsid w:val="007535A6"/>
    <w:rsid w:val="0079122B"/>
    <w:rsid w:val="00817B78"/>
    <w:rsid w:val="00905278"/>
    <w:rsid w:val="00981A97"/>
    <w:rsid w:val="00A0162F"/>
    <w:rsid w:val="00A10160"/>
    <w:rsid w:val="00B050A8"/>
    <w:rsid w:val="00C7521A"/>
    <w:rsid w:val="00CA220E"/>
    <w:rsid w:val="00EA5A9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A2E31"/>
  <w15:docId w15:val="{EFFE554A-8DB1-4618-B00C-162BDE72E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after="122" w:line="249" w:lineRule="auto"/>
      <w:ind w:left="645" w:right="1" w:hanging="645"/>
      <w:jc w:val="both"/>
    </w:pPr>
    <w:rPr>
      <w:rFonts w:ascii="Garamond" w:eastAsia="Garamond" w:hAnsi="Garamond" w:cs="Garamond"/>
      <w:color w:val="000000"/>
    </w:rPr>
  </w:style>
  <w:style w:type="paragraph" w:styleId="Nadpis1">
    <w:name w:val="heading 1"/>
    <w:next w:val="Normln"/>
    <w:link w:val="Nadpis1Char"/>
    <w:uiPriority w:val="9"/>
    <w:qFormat/>
    <w:pPr>
      <w:keepNext/>
      <w:keepLines/>
      <w:spacing w:after="339" w:line="259" w:lineRule="auto"/>
      <w:ind w:left="634"/>
      <w:jc w:val="center"/>
      <w:outlineLvl w:val="0"/>
    </w:pPr>
    <w:rPr>
      <w:rFonts w:ascii="Garamond" w:eastAsia="Garamond" w:hAnsi="Garamond" w:cs="Garamond"/>
      <w:b/>
      <w:color w:val="000000"/>
      <w:sz w:val="36"/>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Pr>
      <w:rFonts w:ascii="Garamond" w:eastAsia="Garamond" w:hAnsi="Garamond" w:cs="Garamond"/>
      <w:b/>
      <w:color w:val="000000"/>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2812</TotalTime>
  <Pages>26</Pages>
  <Words>12988</Words>
  <Characters>76633</Characters>
  <Application>Microsoft Office Word</Application>
  <DocSecurity>0</DocSecurity>
  <Lines>638</Lines>
  <Paragraphs>178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Tahalová Michaela</dc:creator>
  <cp:keywords/>
  <cp:lastModifiedBy>Pavel Sekula</cp:lastModifiedBy>
  <cp:revision>10</cp:revision>
  <cp:lastPrinted>2026-02-14T13:31:00Z</cp:lastPrinted>
  <dcterms:created xsi:type="dcterms:W3CDTF">2026-02-14T11:18:00Z</dcterms:created>
  <dcterms:modified xsi:type="dcterms:W3CDTF">2026-02-16T12:42:00Z</dcterms:modified>
</cp:coreProperties>
</file>